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media/image3.emf" ContentType="image/x-emf"/>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true"/>
        <w:keepLines/>
        <w:spacing w:before="113" w:after="113"/>
        <w:rPr/>
      </w:pPr>
      <w:bookmarkStart w:id="0" w:name="Xf5e6dbd79fadd8fbdb72b563a3b73c6860d79b0"/>
      <w:r>
        <w:rPr/>
        <w:t>ANEXA NR. 4 — MODEL DE CONTRACT DE ACHIZIȚIE</w:t>
      </w:r>
    </w:p>
    <w:p>
      <w:pPr>
        <w:pStyle w:val="FirstParagraph"/>
        <w:rPr/>
      </w:pPr>
      <w:r>
        <w:rPr>
          <w:b/>
          <w:bCs/>
        </w:rPr>
        <w:t>Contract de proiectare, furnizare, construcție, montaj și punere în funcțiune nr. …… din ……</w:t>
      </w:r>
    </w:p>
    <w:p>
      <w:pPr>
        <w:pStyle w:val="BodyText"/>
        <w:rPr/>
      </w:pPr>
      <w:r>
        <w:rPr>
          <w:b/>
          <w:bCs/>
        </w:rPr>
        <w:t>Pachet la cheie („EPC turn-key”) care cuprinde: proiectare tehnică completă, furnizare sistem de stocare a energiei electrice în baterii (BESS) cu o capacitate de minim 6,00 MWh, construcție, montaj și punere în funcțiune, inclusiv conectarea la CEF Prundeni</w:t>
      </w:r>
    </w:p>
    <w:p>
      <w:pPr>
        <w:pStyle w:val="Heading2"/>
        <w:rPr/>
      </w:pPr>
      <w:bookmarkStart w:id="1" w:name="X4a2c118c782a468fa5b850bff86f51151635568"/>
      <w:r>
        <w:rPr/>
        <w:t>CAPITOLUL I — PĂRȚILE, DEFINIȚIILE ȘI DOCUMENTELE</w:t>
      </w:r>
    </w:p>
    <w:p>
      <w:pPr>
        <w:pStyle w:val="Heading3"/>
        <w:rPr/>
      </w:pPr>
      <w:bookmarkStart w:id="2" w:name="art.-1-părțile-contractante"/>
      <w:r>
        <w:rPr/>
        <w:t>Art. 1 — Părțile contractante</w:t>
      </w:r>
    </w:p>
    <w:p>
      <w:pPr>
        <w:pStyle w:val="FirstParagraph"/>
        <w:rPr/>
      </w:pPr>
      <w:r>
        <w:rPr>
          <w:b/>
          <w:bCs/>
        </w:rPr>
        <w:t>1.</w:t>
      </w:r>
      <w:r>
        <w:rPr/>
        <w:t xml:space="preserve"> ……………………, cu sediul în ……………………, înregistrată la Oficiul Registrului Comerțului sub nr. ……………………, CUI ……………………, cont bancar …………………… deschis la ……………………, reprezentată legal prin ……………………, denumită în continuare „</w:t>
      </w:r>
      <w:r>
        <w:rPr>
          <w:b/>
          <w:bCs/>
        </w:rPr>
        <w:t>FURNIZORUL</w:t>
      </w:r>
      <w:r>
        <w:rPr/>
        <w:t>”,</w:t>
      </w:r>
    </w:p>
    <w:p>
      <w:pPr>
        <w:pStyle w:val="BodyText"/>
        <w:rPr/>
      </w:pPr>
      <w:r>
        <w:rPr/>
        <w:t>și</w:t>
      </w:r>
    </w:p>
    <w:p>
      <w:pPr>
        <w:pStyle w:val="BodyText"/>
        <w:rPr/>
      </w:pPr>
      <w:r>
        <w:rPr>
          <w:b/>
          <w:bCs/>
        </w:rPr>
        <w:t>2.</w:t>
      </w:r>
      <w:r>
        <w:rPr/>
        <w:t xml:space="preserve"> </w:t>
      </w:r>
      <w:r>
        <w:rPr>
          <w:b/>
          <w:bCs/>
        </w:rPr>
        <w:t>S.C. DFG Active Imobiliare S.R.L.</w:t>
      </w:r>
      <w:r>
        <w:rPr/>
        <w:t>, cu sediul social în Str. Ion Creanga 7 Et. 6 Ap. 25 Cod 050864, București, sector 5, CUI RO 15830118, e-mail stocare@dfg.ro, cont bancar …………………… deschis la ……………………, reprezentată legal prin ……………………, în calitate de administrator, denumită în continuare „</w:t>
      </w:r>
      <w:r>
        <w:rPr>
          <w:b/>
          <w:bCs/>
        </w:rPr>
        <w:t>BENEFICIARUL</w:t>
      </w:r>
      <w:r>
        <w:rPr/>
        <w:t>”,</w:t>
      </w:r>
    </w:p>
    <w:p>
      <w:pPr>
        <w:pStyle w:val="BodyText"/>
        <w:rPr/>
      </w:pPr>
      <w:r>
        <w:rPr/>
        <w:t>denumite împreună „</w:t>
      </w:r>
      <w:r>
        <w:rPr>
          <w:b/>
          <w:bCs/>
        </w:rPr>
        <w:t>Părțile</w:t>
      </w:r>
      <w:r>
        <w:rPr/>
        <w:t>” și separat „</w:t>
      </w:r>
      <w:r>
        <w:rPr>
          <w:b/>
          <w:bCs/>
        </w:rPr>
        <w:t>Partea</w:t>
      </w:r>
      <w:r>
        <w:rPr/>
        <w:t>”.</w:t>
      </w:r>
      <w:bookmarkEnd w:id="2"/>
    </w:p>
    <w:p>
      <w:pPr>
        <w:pStyle w:val="Heading3"/>
        <w:rPr/>
      </w:pPr>
      <w:bookmarkStart w:id="3" w:name="art.-2-definiții"/>
      <w:r>
        <w:rPr/>
        <w:t>Art. 2 — Definiții</w:t>
      </w:r>
    </w:p>
    <w:p>
      <w:pPr>
        <w:pStyle w:val="FirstParagraph"/>
        <w:rPr/>
      </w:pPr>
      <w:r>
        <w:rPr/>
        <w:t>„</w:t>
      </w:r>
      <w:r>
        <w:rPr>
          <w:b/>
          <w:bCs/>
        </w:rPr>
        <w:t>BESS</w:t>
      </w:r>
      <w:r>
        <w:rPr/>
        <w:t>” — sistem de stocare a energiei în baterii. „</w:t>
      </w:r>
      <w:r>
        <w:rPr>
          <w:b/>
          <w:bCs/>
        </w:rPr>
        <w:t>EMS</w:t>
      </w:r>
      <w:r>
        <w:rPr/>
        <w:t>” — sistem de management al energiei. „</w:t>
      </w:r>
      <w:r>
        <w:rPr>
          <w:b/>
          <w:bCs/>
        </w:rPr>
        <w:t>PCS</w:t>
      </w:r>
      <w:r>
        <w:rPr/>
        <w:t>” — sistem de conversie a energiei. „</w:t>
      </w:r>
      <w:r>
        <w:rPr>
          <w:b/>
          <w:bCs/>
        </w:rPr>
        <w:t>PPC</w:t>
      </w:r>
      <w:r>
        <w:rPr/>
        <w:t>” — controler la punctul de racordare. „</w:t>
      </w:r>
      <w:r>
        <w:rPr>
          <w:b/>
          <w:bCs/>
        </w:rPr>
        <w:t>PTAB 2 – IS</w:t>
      </w:r>
      <w:r>
        <w:rPr/>
        <w:t>” — postul de transformare în anvelopă de beton aferent instalației de stocare. „</w:t>
      </w:r>
      <w:r>
        <w:rPr>
          <w:b/>
          <w:bCs/>
        </w:rPr>
        <w:t>PIF</w:t>
      </w:r>
      <w:r>
        <w:rPr/>
        <w:t>” — etapa la care sistemul și toate echipamentele aferente sunt complet funcționale, integrate, testate și conforme pentru exploatare operațională, conform cerințelor legale, tehnice și ale operatorului de distribuție. „</w:t>
      </w:r>
      <w:r>
        <w:rPr>
          <w:b/>
          <w:bCs/>
        </w:rPr>
        <w:t>FAT</w:t>
      </w:r>
      <w:r>
        <w:rPr/>
        <w:t>” — inspecția și testarea la fabrică, anterioare expedierii. „</w:t>
      </w:r>
      <w:r>
        <w:rPr>
          <w:b/>
          <w:bCs/>
        </w:rPr>
        <w:t>DTAC</w:t>
      </w:r>
      <w:r>
        <w:rPr/>
        <w:t>” — documentația tehnică pentru autorizarea executării lucrărilor de construire, conform Legii nr. 50/1991. „</w:t>
      </w:r>
      <w:r>
        <w:rPr>
          <w:b/>
          <w:bCs/>
        </w:rPr>
        <w:t>AC</w:t>
      </w:r>
      <w:r>
        <w:rPr/>
        <w:t>” — autorizația de construire. „</w:t>
      </w:r>
      <w:r>
        <w:rPr>
          <w:b/>
          <w:bCs/>
        </w:rPr>
        <w:t>Recepția la Terminarea Lucrărilor</w:t>
      </w:r>
      <w:r>
        <w:rPr/>
        <w:t>” — acceptarea contractuală a Lucrărilor după finalizarea testelor și îndeplinirea parametrilor de performanță conveniți. „</w:t>
      </w:r>
      <w:r>
        <w:rPr>
          <w:b/>
          <w:bCs/>
        </w:rPr>
        <w:t>Recepția Finală</w:t>
      </w:r>
      <w:r>
        <w:rPr/>
        <w:t>” — recepția la expirarea perioadei de garanție de 24 de luni de la PIF.</w:t>
      </w:r>
    </w:p>
    <w:p>
      <w:pPr>
        <w:pStyle w:val="BodyText"/>
        <w:rPr/>
      </w:pPr>
      <w:r>
        <w:rPr/>
        <w:t>„</w:t>
      </w:r>
      <w:r>
        <w:rPr>
          <w:b/>
          <w:bCs/>
        </w:rPr>
        <w:t>Regimul de Operare de Proiectare</w:t>
      </w:r>
      <w:r>
        <w:rPr/>
        <w:t xml:space="preserve">” — regimul declarat la §3.0 din Caietul de Sarcini, cu cele două stări R1 și R2. Toate garanțiile din prezentul Contract se raportează la </w:t>
      </w:r>
      <w:r>
        <w:rPr>
          <w:b/>
          <w:bCs/>
        </w:rPr>
        <w:t>starea R2</w:t>
      </w:r>
      <w:r>
        <w:rPr/>
        <w:t>.</w:t>
      </w:r>
    </w:p>
    <w:p>
      <w:pPr>
        <w:pStyle w:val="BodyText"/>
        <w:rPr/>
      </w:pPr>
      <w:r>
        <w:rPr/>
        <w:t>„</w:t>
      </w:r>
      <w:r>
        <w:rPr>
          <w:b/>
          <w:bCs/>
        </w:rPr>
        <w:t>Capacitate nominală</w:t>
      </w:r>
      <w:r>
        <w:rPr/>
        <w:t>” — energia nominală în curent continuu a sistemului de stocare, la începutul duratei de viață, la 25 °C, determinată conform IEC 62933-2-1. „</w:t>
      </w:r>
      <w:r>
        <w:rPr>
          <w:b/>
          <w:bCs/>
        </w:rPr>
        <w:t>Energie utilizabilă</w:t>
      </w:r>
      <w:r>
        <w:rPr/>
        <w:t>” — energia în curent continuu disponibilă între limitele de stare de încărcare corespunzătoare unei adâncimi de descărcare de 90%, la 25 °C, la începutul duratei de viață. „</w:t>
      </w:r>
      <w:r>
        <w:rPr>
          <w:b/>
          <w:bCs/>
        </w:rPr>
        <w:t>Energie descărcată la bornele de curent alternativ</w:t>
      </w:r>
      <w:r>
        <w:rPr/>
        <w:t>” — energia măsurată în curent alternativ la bornele instalației de stocare, în punctul de măsurare M1 definit la §3.2.1 lit. E din Caietul de Sarcini, într-un ciclu complet de la 95% la 5% stare de încărcare, la 25 °C, cu auxiliarele în funcțiune. Frontiera este cea de la §3.2.1 lit. A și este identică cu cea folosită pentru determinarea randamentului AC-AC; nu se utilizează punctul comun de cuplare, unde fluxul este agregat cu cel al centralei fotovoltaice.</w:t>
      </w:r>
    </w:p>
    <w:p>
      <w:pPr>
        <w:pStyle w:val="BodyText"/>
        <w:rPr/>
      </w:pPr>
      <w:r>
        <w:rPr/>
        <w:t>„</w:t>
      </w:r>
      <w:r>
        <w:rPr>
          <w:b/>
          <w:bCs/>
        </w:rPr>
        <w:t>Ciclu complet echivalent (CCE)</w:t>
      </w:r>
      <w:r>
        <w:rPr/>
        <w:t>”, „</w:t>
      </w:r>
      <w:r>
        <w:rPr>
          <w:b/>
          <w:bCs/>
        </w:rPr>
        <w:t>Energie descărcată cumulată</w:t>
      </w:r>
      <w:r>
        <w:rPr/>
        <w:t>”, „</w:t>
      </w:r>
      <w:r>
        <w:rPr>
          <w:b/>
          <w:bCs/>
        </w:rPr>
        <w:t>Randament AC-AC la nivel de sistem</w:t>
      </w:r>
      <w:r>
        <w:rPr/>
        <w:t>” și „</w:t>
      </w:r>
      <w:r>
        <w:rPr>
          <w:b/>
          <w:bCs/>
        </w:rPr>
        <w:t>Stare de sănătate (SoH)</w:t>
      </w:r>
      <w:r>
        <w:rPr/>
        <w:t xml:space="preserve">” au înțelesul definit la </w:t>
      </w:r>
      <w:r>
        <w:rPr>
          <w:b/>
          <w:bCs/>
        </w:rPr>
        <w:t>§3.3.0 din Caietul de Sarcini</w:t>
      </w:r>
      <w:r>
        <w:rPr/>
        <w:t>, care prevalează asupra oricărei definiții din documentația tehnică a Furnizorului.</w:t>
      </w:r>
    </w:p>
    <w:p>
      <w:pPr>
        <w:pStyle w:val="BodyText"/>
        <w:rPr/>
      </w:pPr>
      <w:r>
        <w:rPr/>
        <w:t>„</w:t>
      </w:r>
      <w:r>
        <w:rPr>
          <w:b/>
          <w:bCs/>
        </w:rPr>
        <w:t>Durata controlată de Furnizor</w:t>
      </w:r>
      <w:r>
        <w:rPr/>
        <w:t>” — suma segmentelor S1 și S3 definite la §3.4.1 din Caietul de Sarcini, astfel cum a fost ofertată în Formularul nr. 6.</w:t>
      </w:r>
    </w:p>
    <w:p>
      <w:pPr>
        <w:pStyle w:val="BodyText"/>
        <w:rPr/>
      </w:pPr>
      <w:r>
        <w:rPr/>
        <w:t>„</w:t>
      </w:r>
      <w:r>
        <w:rPr>
          <w:b/>
          <w:bCs/>
        </w:rPr>
        <w:t>Valorile Garantate</w:t>
      </w:r>
      <w:r>
        <w:rPr/>
        <w:t>” — valorile și curbele declarate de Furnizor în Formularul nr. 6 al ofertei.</w:t>
      </w:r>
    </w:p>
    <w:p>
      <w:pPr>
        <w:pStyle w:val="BodyText"/>
        <w:rPr/>
      </w:pPr>
      <w:r>
        <w:rPr/>
        <w:t>„</w:t>
      </w:r>
      <w:r>
        <w:rPr>
          <w:b/>
          <w:bCs/>
        </w:rPr>
        <w:t>Valoarea Contractului</w:t>
      </w:r>
      <w:r>
        <w:rPr/>
        <w:t xml:space="preserve">” — prețul total al Lucrărilor prevăzut la art. 5.1, </w:t>
      </w:r>
      <w:r>
        <w:rPr>
          <w:b/>
          <w:bCs/>
        </w:rPr>
        <w:t>fără TVA</w:t>
      </w:r>
      <w:r>
        <w:rPr/>
        <w:t>; are același înțeles oriunde apare în Caietul de Sarcini sau în prezentul Contract.</w:t>
      </w:r>
    </w:p>
    <w:p>
      <w:pPr>
        <w:pStyle w:val="BodyText"/>
        <w:rPr/>
      </w:pPr>
      <w:r>
        <w:rPr/>
        <w:t>„</w:t>
      </w:r>
      <w:r>
        <w:rPr>
          <w:b/>
          <w:bCs/>
        </w:rPr>
        <w:t>Standardele Aplicabile</w:t>
      </w:r>
      <w:r>
        <w:rPr/>
        <w:t xml:space="preserve">” — specificațiile tehnice adoptate ca standarde internaționale, europene, naționale sau industriale, codurile de practică și cerințele unui organism de standardizare recunoscut, cu care Lucrările trebuie să se conformeze; lista nu este exhaustivă. </w:t>
      </w:r>
      <w:r>
        <w:rPr>
          <w:b/>
          <w:bCs/>
        </w:rPr>
        <w:t>În cazul aplicării simultane a două standarde, se aplică cel mai strict.</w:t>
      </w:r>
    </w:p>
    <w:p>
      <w:pPr>
        <w:pStyle w:val="BodyText"/>
        <w:rPr/>
      </w:pPr>
      <w:r>
        <w:rPr>
          <w:b/>
          <w:bCs/>
        </w:rPr>
        <w:t>Abrevieri.</w:t>
      </w:r>
      <w:r>
        <w:rPr/>
        <w:t xml:space="preserve"> Abrevierile utilizate în prezentul Contract au înțelesul stabilit la </w:t>
      </w:r>
      <w:r>
        <w:rPr>
          <w:b/>
          <w:bCs/>
        </w:rPr>
        <w:t>§2.7 din Caietul de Sarcini</w:t>
      </w:r>
      <w:r>
        <w:rPr/>
        <w:t>, care face parte integrantă din Contract potrivit art. 3.1 și prevalează în caz de neconcordanță.</w:t>
      </w:r>
      <w:bookmarkEnd w:id="3"/>
    </w:p>
    <w:p>
      <w:pPr>
        <w:pStyle w:val="Heading3"/>
        <w:rPr/>
      </w:pPr>
      <w:bookmarkStart w:id="4" w:name="X6919d2f68ee2e25496683776c26505169ca8927"/>
      <w:r>
        <w:rPr/>
        <w:t>Art. 3 — Documentele Contractului și ordinea de precedență</w:t>
      </w:r>
    </w:p>
    <w:p>
      <w:pPr>
        <w:pStyle w:val="FirstParagraph"/>
        <w:rPr/>
      </w:pPr>
      <w:r>
        <w:rPr>
          <w:b/>
          <w:bCs/>
        </w:rPr>
        <w:t>3.1.</w:t>
      </w:r>
      <w:r>
        <w:rPr/>
        <w:t xml:space="preserve"> Fac parte integrantă din prezentul Contract, în această ordine de precedență:</w:t>
      </w:r>
    </w:p>
    <w:p>
      <w:pPr>
        <w:pStyle w:val="Compact"/>
        <w:numPr>
          <w:ilvl w:val="0"/>
          <w:numId w:val="3"/>
        </w:numPr>
        <w:rPr/>
      </w:pPr>
      <w:r>
        <w:rPr>
          <w:b/>
          <w:bCs/>
        </w:rPr>
        <w:t>Caietul de Sarcini</w:t>
      </w:r>
      <w:r>
        <w:rPr/>
        <w:t xml:space="preserve"> și anexele sale, cu excepția Formularului nr. 14, care are regimul de la art. 8.2¹;</w:t>
      </w:r>
    </w:p>
    <w:p>
      <w:pPr>
        <w:pStyle w:val="Compact"/>
        <w:numPr>
          <w:ilvl w:val="0"/>
          <w:numId w:val="1"/>
        </w:numPr>
        <w:rPr/>
      </w:pPr>
      <w:r>
        <w:rPr>
          <w:b/>
          <w:bCs/>
        </w:rPr>
        <w:t>clarificările</w:t>
      </w:r>
      <w:r>
        <w:rPr/>
        <w:t xml:space="preserve"> transmise în cadrul Procedurii;</w:t>
      </w:r>
    </w:p>
    <w:p>
      <w:pPr>
        <w:pStyle w:val="Compact"/>
        <w:numPr>
          <w:ilvl w:val="0"/>
          <w:numId w:val="1"/>
        </w:numPr>
        <w:rPr/>
      </w:pPr>
      <w:r>
        <w:rPr>
          <w:b/>
          <w:bCs/>
        </w:rPr>
        <w:t>oferta declarată câștigătoare</w:t>
      </w:r>
      <w:r>
        <w:rPr/>
        <w:t>, inclusiv Formularul nr. 6 cu Valorile Garantate și graficul de execuție;</w:t>
      </w:r>
    </w:p>
    <w:p>
      <w:pPr>
        <w:pStyle w:val="Compact"/>
        <w:numPr>
          <w:ilvl w:val="0"/>
          <w:numId w:val="1"/>
        </w:numPr>
        <w:rPr/>
      </w:pPr>
      <w:r>
        <w:rPr/>
        <w:t>prezentul Contract și actele adiționale la acesta;</w:t>
      </w:r>
    </w:p>
    <w:p>
      <w:pPr>
        <w:pStyle w:val="Compact"/>
        <w:numPr>
          <w:ilvl w:val="0"/>
          <w:numId w:val="1"/>
        </w:numPr>
        <w:rPr/>
      </w:pPr>
      <w:r>
        <w:rPr/>
        <w:t>anexele tehnice ale Furnizorului (memoriu tehnic, fișe tehnice, scheme);</w:t>
      </w:r>
    </w:p>
    <w:p>
      <w:pPr>
        <w:pStyle w:val="Compact"/>
        <w:numPr>
          <w:ilvl w:val="0"/>
          <w:numId w:val="1"/>
        </w:numPr>
        <w:rPr/>
      </w:pPr>
      <w:r>
        <w:rPr>
          <w:b/>
          <w:bCs/>
        </w:rPr>
        <w:t>Anexa nr. 1 la prezentul Contract — Valorile Garantate</w:t>
      </w:r>
      <w:r>
        <w:rPr/>
        <w:t>, ca extras consolidat din Formularul nr. 6 al ofertei declarate câștigătoare, semnat de Părți la data semnării Contractului.</w:t>
      </w:r>
    </w:p>
    <w:p>
      <w:pPr>
        <w:pStyle w:val="FirstParagraph"/>
        <w:rPr/>
      </w:pPr>
      <w:r>
        <w:rPr>
          <w:b/>
          <w:bCs/>
        </w:rPr>
        <w:t>3.2.</w:t>
      </w:r>
      <w:r>
        <w:rPr/>
        <w:t xml:space="preserve"> În caz de contradicție între documente, prevalează documentul cu rangul superior în ordinea de la art. 3.1. </w:t>
      </w:r>
      <w:r>
        <w:rPr>
          <w:b/>
          <w:bCs/>
        </w:rPr>
        <w:t>Caietul de Sarcini și oferta declarată câștigătoare nu pot fi modificate prin prezentul Contract sau prin acte adiționale la acesta.</w:t>
      </w:r>
    </w:p>
    <w:p>
      <w:pPr>
        <w:pStyle w:val="BodyText"/>
        <w:rPr/>
      </w:pPr>
      <w:r>
        <w:rPr>
          <w:b/>
          <w:bCs/>
        </w:rPr>
        <w:t>3.3.</w:t>
      </w:r>
      <w:r>
        <w:rPr/>
        <w:t xml:space="preserve"> Condițiile generale de vânzare, livrare, prestare sau licențiere ale Furnizorului nu fac parte din Contract și nu îi sunt opozabile Beneficiarului, indiferent dacă au fost atașate ofertei, facturilor, documentelor de transport sau oricărei alte corespondențe.</w:t>
      </w:r>
    </w:p>
    <w:p>
      <w:pPr>
        <w:pStyle w:val="BodyText"/>
        <w:rPr/>
      </w:pPr>
      <w:r>
        <w:rPr>
          <w:b/>
          <w:bCs/>
        </w:rPr>
        <w:t>3.4.</w:t>
      </w:r>
      <w:r>
        <w:rPr/>
        <w:t xml:space="preserve"> </w:t>
      </w:r>
      <w:r>
        <w:rPr>
          <w:b/>
          <w:bCs/>
        </w:rPr>
        <w:t>Manualul de operare și mentenanță</w:t>
      </w:r>
      <w:r>
        <w:rPr/>
        <w:t xml:space="preserve">, ghidurile de utilizare și orice alt document tehnic emis de Furnizor sau de producătorii echipamentelor ulterior semnării Contractului </w:t>
      </w:r>
      <w:r>
        <w:rPr>
          <w:b/>
          <w:bCs/>
        </w:rPr>
        <w:t>nu pot restrânge Regimul de Operare de Proiectare și nu pot afecta Valorile Garantate</w:t>
      </w:r>
      <w:r>
        <w:rPr/>
        <w:t>. Orice prevedere contrară din aceste documente este lipsită de efect între Părți.</w:t>
      </w:r>
      <w:bookmarkEnd w:id="1"/>
      <w:bookmarkEnd w:id="4"/>
    </w:p>
    <w:p>
      <w:pPr>
        <w:pStyle w:val="Heading2"/>
        <w:rPr/>
      </w:pPr>
      <w:bookmarkStart w:id="5" w:name="capitolul-ii-obiectul-și-prețul"/>
      <w:r>
        <w:rPr/>
        <w:t>CAPITOLUL II — OBIECTUL ȘI PREȚUL</w:t>
      </w:r>
    </w:p>
    <w:p>
      <w:pPr>
        <w:pStyle w:val="Heading3"/>
        <w:rPr/>
      </w:pPr>
      <w:bookmarkStart w:id="6" w:name="art.-4-obiectul-contractului"/>
      <w:r>
        <w:rPr/>
        <w:t>Art. 4 — Obiectul Contractului</w:t>
      </w:r>
    </w:p>
    <w:p>
      <w:pPr>
        <w:pStyle w:val="FirstParagraph"/>
        <w:rPr/>
      </w:pPr>
      <w:r>
        <w:rPr>
          <w:b/>
          <w:bCs/>
        </w:rPr>
        <w:t>4.1.</w:t>
      </w:r>
      <w:r>
        <w:rPr/>
        <w:t xml:space="preserve"> Obiectul îl constituie furnizarea, instalarea și punerea în funcțiune, în regim „la cheie” (EPC turn-key), a pachetului integrat denumit în continuare „</w:t>
      </w:r>
      <w:r>
        <w:rPr>
          <w:b/>
          <w:bCs/>
        </w:rPr>
        <w:t>Lucrările</w:t>
      </w:r>
      <w:r>
        <w:rPr/>
        <w:t xml:space="preserve">”, astfel cum este descris la </w:t>
      </w:r>
      <w:r>
        <w:rPr>
          <w:b/>
          <w:bCs/>
        </w:rPr>
        <w:t>§3.2 din Caietul de Sarcini</w:t>
      </w:r>
      <w:r>
        <w:rPr/>
        <w:t>.</w:t>
      </w:r>
    </w:p>
    <w:p>
      <w:pPr>
        <w:pStyle w:val="BodyText"/>
        <w:rPr/>
      </w:pPr>
      <w:r>
        <w:rPr>
          <w:b/>
          <w:bCs/>
        </w:rPr>
        <w:t>4.2.</w:t>
      </w:r>
      <w:r>
        <w:rPr/>
        <w:t xml:space="preserve"> Sistemul de stocare va avea o </w:t>
      </w:r>
      <w:r>
        <w:rPr>
          <w:b/>
          <w:bCs/>
        </w:rPr>
        <w:t>capacitate nominală de minimum 6,00 MWh c.c.</w:t>
      </w:r>
      <w:r>
        <w:rPr/>
        <w:t xml:space="preserve"> la începutul duratei de viață, la 25 °C, determinată conform IEC 62933-2-1, și o </w:t>
      </w:r>
      <w:r>
        <w:rPr>
          <w:b/>
          <w:bCs/>
        </w:rPr>
        <w:t>energie utilizabilă c.c. de minimum 0,90 × capacitatea nominală</w:t>
      </w:r>
      <w:r>
        <w:rPr/>
        <w:t xml:space="preserve"> la o adâncime de descărcare de minimum 90%, conform Valorilor Garantate.</w:t>
      </w:r>
    </w:p>
    <w:p>
      <w:pPr>
        <w:pStyle w:val="BodyText"/>
        <w:rPr/>
      </w:pPr>
      <w:r>
        <w:rPr>
          <w:b/>
          <w:bCs/>
        </w:rPr>
        <w:t>4.2¹.</w:t>
      </w:r>
      <w:r>
        <w:rPr/>
        <w:t xml:space="preserve"> Sistemul este proiectat și dimensionat pentru </w:t>
      </w:r>
      <w:r>
        <w:rPr>
          <w:b/>
          <w:bCs/>
        </w:rPr>
        <w:t>Regimul de Operare de Proiectare, starea R2</w:t>
      </w:r>
      <w:r>
        <w:rPr/>
        <w:t>, definit la §3.0 din Caietul de Sarcini. Furnizorul confirmă că a luat cunoștință de acest regim, că soluția ofertată îl susține integral și că toate Valorile Garantate sunt valabile în interiorul lui.</w:t>
      </w:r>
    </w:p>
    <w:p>
      <w:pPr>
        <w:pStyle w:val="BodyText"/>
        <w:rPr/>
      </w:pPr>
      <w:r>
        <w:rPr>
          <w:b/>
          <w:bCs/>
        </w:rPr>
        <w:t>4.3.</w:t>
      </w:r>
      <w:r>
        <w:rPr/>
        <w:t xml:space="preserve"> Lucrările se execută pe amplasamentul situat în Jud. Vâlcea, UAT Prundeni, Loc. Călina, Str. Gării, nr. 9, nr. cad. 39720, județul Vâlcea., în conformitate cu Avizul tehnic de racordare nr. 001500053360 și cu autorizația de construire care urmează a fi obținută în condițiile art. 4.5.</w:t>
      </w:r>
    </w:p>
    <w:p>
      <w:pPr>
        <w:pStyle w:val="BodyText"/>
        <w:rPr/>
      </w:pPr>
      <w:r>
        <w:rPr>
          <w:b/>
          <w:bCs/>
        </w:rPr>
        <w:t>4.4.</w:t>
      </w:r>
      <w:r>
        <w:rPr/>
        <w:t xml:space="preserve"> Furnizorul execută Lucrările cu diligența unui profesionist experimentat, conform Calendarului de Execuție; Beneficiarul plătește Prețul conform Graficului de Plăți.</w:t>
      </w:r>
    </w:p>
    <w:p>
      <w:pPr>
        <w:pStyle w:val="BodyText"/>
        <w:rPr/>
      </w:pPr>
      <w:r>
        <w:rPr>
          <w:b/>
          <w:bCs/>
        </w:rPr>
        <w:t>4.5. Autorizarea executării lucrărilor.</w:t>
      </w:r>
      <w:r>
        <w:rPr/>
        <w:t xml:space="preserve"> La data semnării prezentului Contract, autorizația de construire nu este emisă. Repartizarea obligațiilor între Părți este cea prevăzută în tabelul de la </w:t>
      </w:r>
      <w:r>
        <w:rPr>
          <w:b/>
          <w:bCs/>
        </w:rPr>
        <w:t>§3.1.1 lit. (C) din Caietul de Sarcini</w:t>
      </w:r>
      <w:r>
        <w:rPr/>
        <w:t xml:space="preserve"> și se aplică integral. În sarcina Furnizorului rămân, în principal: elaborarea DTAC cu memoriile tehnice pe specialitățile Instalații Electrice și Rezistență și cu dimensionarea fundațiilor la soluția efectiv ofertată; verificarea tehnică de calitate a proiectului pe cerințele A1/A2 și Ie, de către verificatori independenți de elaborator; documentațiile tehnice pentru avizele rămase de obținut; </w:t>
      </w:r>
      <w:r>
        <w:rPr>
          <w:b/>
          <w:bCs/>
        </w:rPr>
        <w:t>răspunsul la completările de natură tehnică, în maximum 5 zile lucrătoare</w:t>
      </w:r>
      <w:r>
        <w:rPr/>
        <w:t xml:space="preserve"> de la comunicarea acestora; asistența tehnică la susținerea documentației.</w:t>
      </w:r>
    </w:p>
    <w:p>
      <w:pPr>
        <w:pStyle w:val="BodyText"/>
        <w:rPr/>
      </w:pPr>
      <w:r>
        <w:rPr>
          <w:b/>
          <w:bCs/>
        </w:rPr>
        <w:t>4.6.</w:t>
      </w:r>
      <w:r>
        <w:rPr/>
        <w:t xml:space="preserve"> Beneficiarul depune cererile de aviz și cererea de autorizare, semnează în calitate de investitor în maximum 5 zile lucrătoare de la solicitarea Furnizorului însoțită de documentația completă, susține documentația la emitent și achită taxele de aviz, taxele legale de autorizare și cotele datorate Inspectoratului de Stat în Construcții. Furnizorul furnizează baza de calcul și documentele necesare determinării acestor sume, cu minimum 10 zile lucrătoare înainte de scadență. </w:t>
      </w:r>
      <w:r>
        <w:rPr>
          <w:b/>
          <w:bCs/>
        </w:rPr>
        <w:t>Depășirea acestui termen din culpa Beneficiarului nu este imputabilă Furnizorului</w:t>
      </w:r>
      <w:r>
        <w:rPr/>
        <w:t>: perioada corespunzătoare se adaugă segmentului neutru S2 și nu curge împotriva duratei controlate.</w:t>
      </w:r>
    </w:p>
    <w:p>
      <w:pPr>
        <w:pStyle w:val="BodyText"/>
        <w:rPr/>
      </w:pPr>
      <w:r>
        <w:rPr>
          <w:b/>
          <w:bCs/>
        </w:rPr>
        <w:t>4.6¹.</w:t>
      </w:r>
      <w:r>
        <w:rPr/>
        <w:t xml:space="preserve"> Beneficiarul obține </w:t>
      </w:r>
      <w:r>
        <w:rPr>
          <w:b/>
          <w:bCs/>
        </w:rPr>
        <w:t>autorizația de înființare</w:t>
      </w:r>
      <w:r>
        <w:rPr/>
        <w:t xml:space="preserve"> prevăzută de Legea nr. 123/2012. Neobținerea sau întârzierea acesteia, din motive neimputabile Furnizorului, produce efectele prevăzute la art. 15.1¹. Furnizorul pune la dispoziția Beneficiarului, în maximum 10 zile lucrătoare de la solicitare, orice document tehnic necesar completării sau actualizării dosarului de autorizare, fără cost suplimentar.</w:t>
      </w:r>
    </w:p>
    <w:p>
      <w:pPr>
        <w:pStyle w:val="BodyText"/>
        <w:rPr/>
      </w:pPr>
      <w:r>
        <w:rPr>
          <w:b/>
          <w:bCs/>
        </w:rPr>
        <w:t>4.7. Stabilitatea soluției.</w:t>
      </w:r>
      <w:r>
        <w:rPr/>
        <w:t xml:space="preserve"> Soluția tehnică pe baza căreia se elaborează DTAC se consideră </w:t>
      </w:r>
      <w:r>
        <w:rPr>
          <w:b/>
          <w:bCs/>
        </w:rPr>
        <w:t>înghețată la data depunerii documentației</w:t>
      </w:r>
      <w:r>
        <w:rPr/>
        <w:t xml:space="preserve"> la autoritatea emitentă. Orice modificare ulterioară care impune dispoziție de șantier cu avizul proiectantului și al verificatorului sau autorizație de construire modificatoare se realizează </w:t>
      </w:r>
      <w:r>
        <w:rPr>
          <w:b/>
          <w:bCs/>
        </w:rPr>
        <w:t>pe cheltuiala exclusivă a Furnizorului și fără prelungirea termenului</w:t>
      </w:r>
      <w:r>
        <w:rPr/>
        <w:t>, dacă modificarea îi este imputabilă. Dacă modificarea este solicitată de Beneficiar, ea se tratează conform art. 17.</w:t>
      </w:r>
      <w:bookmarkEnd w:id="6"/>
    </w:p>
    <w:p>
      <w:pPr>
        <w:pStyle w:val="Heading3"/>
        <w:rPr/>
      </w:pPr>
      <w:bookmarkStart w:id="7" w:name="art.-5-prețul-contractului"/>
      <w:r>
        <w:rPr/>
        <w:t>Art. 5 — Prețul Contractului</w:t>
      </w:r>
    </w:p>
    <w:p>
      <w:pPr>
        <w:pStyle w:val="FirstParagraph"/>
        <w:rPr/>
      </w:pPr>
      <w:r>
        <w:rPr>
          <w:b/>
          <w:bCs/>
        </w:rPr>
        <w:t>5.1.</w:t>
      </w:r>
      <w:r>
        <w:rPr/>
        <w:t xml:space="preserve"> Prețul total al Lucrărilor este de </w:t>
      </w:r>
      <w:r>
        <w:rPr>
          <w:b/>
          <w:bCs/>
        </w:rPr>
        <w:t>……………….. lei fără TVA</w:t>
      </w:r>
      <w:r>
        <w:rPr/>
        <w:t xml:space="preserve"> și este </w:t>
      </w:r>
      <w:r>
        <w:rPr>
          <w:b/>
          <w:bCs/>
        </w:rPr>
        <w:t>ferm pe toată durata Contractului</w:t>
      </w:r>
      <w:r>
        <w:rPr/>
        <w:t xml:space="preserve">. </w:t>
      </w:r>
      <w:r>
        <w:rPr>
          <w:b/>
          <w:bCs/>
        </w:rPr>
        <w:t>Nicio ajustare nu este permisă</w:t>
      </w:r>
      <w:r>
        <w:rPr/>
        <w:t>, în niciun temei, inclusiv variații ale cursului valutar, ale prețurilor materiilor prime, ale costurilor de transport, ale taxelor vamale sau ale costurilor de finanțare.</w:t>
      </w:r>
    </w:p>
    <w:tbl>
      <w:tblPr>
        <w:tblStyle w:val="Table"/>
        <w:tblW w:w="490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6398"/>
        <w:gridCol w:w="906"/>
        <w:gridCol w:w="906"/>
        <w:gridCol w:w="1008"/>
      </w:tblGrid>
      <w:tr>
        <w:trPr>
          <w:tblHeader w:val="true"/>
        </w:trPr>
        <w:tc>
          <w:tcPr>
            <w:tcW w:w="6398" w:type="dxa"/>
            <w:tcBorders/>
          </w:tcPr>
          <w:p>
            <w:pPr>
              <w:pStyle w:val="Compact"/>
              <w:jc w:val="left"/>
              <w:rPr>
                <w:i/>
              </w:rPr>
            </w:pPr>
            <w:r>
              <w:rPr>
                <w:i/>
              </w:rPr>
              <w:t>Pachet</w:t>
            </w:r>
          </w:p>
        </w:tc>
        <w:tc>
          <w:tcPr>
            <w:tcW w:w="906" w:type="dxa"/>
            <w:tcBorders/>
          </w:tcPr>
          <w:p>
            <w:pPr>
              <w:pStyle w:val="Compact"/>
              <w:jc w:val="left"/>
              <w:rPr>
                <w:i/>
              </w:rPr>
            </w:pPr>
            <w:r>
              <w:rPr>
                <w:i/>
              </w:rPr>
              <w:t>U.M.</w:t>
            </w:r>
          </w:p>
        </w:tc>
        <w:tc>
          <w:tcPr>
            <w:tcW w:w="906" w:type="dxa"/>
            <w:tcBorders/>
          </w:tcPr>
          <w:p>
            <w:pPr>
              <w:pStyle w:val="Compact"/>
              <w:jc w:val="left"/>
              <w:rPr>
                <w:i/>
              </w:rPr>
            </w:pPr>
            <w:r>
              <w:rPr>
                <w:i/>
              </w:rPr>
              <w:t>Cant.</w:t>
            </w:r>
          </w:p>
        </w:tc>
        <w:tc>
          <w:tcPr>
            <w:tcW w:w="1008" w:type="dxa"/>
            <w:tcBorders/>
          </w:tcPr>
          <w:p>
            <w:pPr>
              <w:pStyle w:val="Compact"/>
              <w:jc w:val="left"/>
              <w:rPr>
                <w:i/>
              </w:rPr>
            </w:pPr>
            <w:r>
              <w:rPr>
                <w:i/>
              </w:rPr>
              <w:t>Preț lei fără TVA</w:t>
            </w:r>
          </w:p>
        </w:tc>
      </w:tr>
      <w:tr>
        <w:trPr/>
        <w:tc>
          <w:tcPr>
            <w:tcW w:w="6398" w:type="dxa"/>
            <w:tcBorders/>
          </w:tcPr>
          <w:p>
            <w:pPr>
              <w:pStyle w:val="Compact"/>
              <w:jc w:val="left"/>
              <w:rPr>
                <w:i/>
              </w:rPr>
            </w:pPr>
            <w:r>
              <w:rPr>
                <w:i/>
              </w:rPr>
              <w:t>Sistem BESS, capacitate nominală ≥ 6,00 MWh c.c., conform anvelopei de la §3.2.1 lit. A, montaj și PIF</w:t>
            </w:r>
          </w:p>
        </w:tc>
        <w:tc>
          <w:tcPr>
            <w:tcW w:w="906" w:type="dxa"/>
            <w:tcBorders/>
          </w:tcPr>
          <w:p>
            <w:pPr>
              <w:pStyle w:val="Compact"/>
              <w:jc w:val="left"/>
              <w:rPr>
                <w:i/>
              </w:rPr>
            </w:pPr>
            <w:r>
              <w:rPr>
                <w:i/>
              </w:rPr>
              <w:t>lot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i/>
              </w:rPr>
              <w:t>PTAB 2 – IS 0,8/20 kV, 2.500 kVA, complet echipat conform §3.2.1 lit. B pct. (iii)</w:t>
            </w:r>
          </w:p>
        </w:tc>
        <w:tc>
          <w:tcPr>
            <w:tcW w:w="906" w:type="dxa"/>
            <w:tcBorders/>
          </w:tcPr>
          <w:p>
            <w:pPr>
              <w:pStyle w:val="Compact"/>
              <w:jc w:val="left"/>
              <w:rPr>
                <w:i/>
              </w:rPr>
            </w:pPr>
            <w:r>
              <w:rPr>
                <w:i/>
              </w:rPr>
              <w:t>kit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i/>
              </w:rPr>
              <w:t>Celulă MT în PTAB CEF 0,8/20 kV, 2.000 kVA și LES 20 kV, conform §3.2.1 lit. B</w:t>
            </w:r>
          </w:p>
        </w:tc>
        <w:tc>
          <w:tcPr>
            <w:tcW w:w="906" w:type="dxa"/>
            <w:tcBorders/>
          </w:tcPr>
          <w:p>
            <w:pPr>
              <w:pStyle w:val="Compact"/>
              <w:jc w:val="left"/>
              <w:rPr>
                <w:i/>
              </w:rPr>
            </w:pPr>
            <w:r>
              <w:rPr>
                <w:i/>
              </w:rPr>
              <w:t>lot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i/>
              </w:rPr>
              <w:t>Branșamente, cabluri MT+JT, fundații, drum de acces, împrejmuire, CSL/ISU</w:t>
            </w:r>
          </w:p>
        </w:tc>
        <w:tc>
          <w:tcPr>
            <w:tcW w:w="906" w:type="dxa"/>
            <w:tcBorders/>
          </w:tcPr>
          <w:p>
            <w:pPr>
              <w:pStyle w:val="Compact"/>
              <w:jc w:val="left"/>
              <w:rPr>
                <w:i/>
              </w:rPr>
            </w:pPr>
            <w:r>
              <w:rPr>
                <w:i/>
              </w:rPr>
              <w:t>lot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i/>
              </w:rPr>
              <w:t>Proiectare tehnică (PT + PTDE + detalii de execuție + as-built), PTE, avizare CTE, DIU, notificare Operatorul de Distribuție</w:t>
            </w:r>
          </w:p>
        </w:tc>
        <w:tc>
          <w:tcPr>
            <w:tcW w:w="906" w:type="dxa"/>
            <w:tcBorders/>
          </w:tcPr>
          <w:p>
            <w:pPr>
              <w:pStyle w:val="Compact"/>
              <w:jc w:val="left"/>
              <w:rPr>
                <w:i/>
              </w:rPr>
            </w:pPr>
            <w:r>
              <w:rPr>
                <w:i/>
              </w:rPr>
              <w:t>lot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i/>
              </w:rPr>
              <w:t>Integrare SCADA parc fotovoltaic și SCADA OD, fibră optică, monitorizare calitate energie</w:t>
            </w:r>
          </w:p>
        </w:tc>
        <w:tc>
          <w:tcPr>
            <w:tcW w:w="906" w:type="dxa"/>
            <w:tcBorders/>
          </w:tcPr>
          <w:p>
            <w:pPr>
              <w:pStyle w:val="Compact"/>
              <w:jc w:val="left"/>
              <w:rPr>
                <w:i/>
              </w:rPr>
            </w:pPr>
            <w:r>
              <w:rPr>
                <w:i/>
              </w:rPr>
              <w:t>lot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b/>
                <w:bCs/>
                <w:i/>
              </w:rPr>
              <w:t>Total general (lei fără TVA)</w:t>
            </w:r>
          </w:p>
        </w:tc>
        <w:tc>
          <w:tcPr>
            <w:tcW w:w="906" w:type="dxa"/>
            <w:tcBorders/>
          </w:tcPr>
          <w:p>
            <w:pPr>
              <w:pStyle w:val="Compact"/>
              <w:rPr>
                <w:i/>
              </w:rPr>
            </w:pPr>
            <w:r>
              <w:rPr>
                <w:i/>
              </w:rPr>
            </w:r>
          </w:p>
        </w:tc>
        <w:tc>
          <w:tcPr>
            <w:tcW w:w="906" w:type="dxa"/>
            <w:tcBorders/>
          </w:tcPr>
          <w:p>
            <w:pPr>
              <w:pStyle w:val="Compact"/>
              <w:rPr>
                <w:i/>
              </w:rPr>
            </w:pPr>
            <w:r>
              <w:rPr>
                <w:i/>
              </w:rPr>
            </w:r>
          </w:p>
        </w:tc>
        <w:tc>
          <w:tcPr>
            <w:tcW w:w="1008" w:type="dxa"/>
            <w:tcBorders/>
          </w:tcPr>
          <w:p>
            <w:pPr>
              <w:pStyle w:val="Compact"/>
              <w:rPr>
                <w:i/>
              </w:rPr>
            </w:pPr>
            <w:r>
              <w:rPr>
                <w:i/>
              </w:rPr>
            </w:r>
          </w:p>
        </w:tc>
      </w:tr>
    </w:tbl>
    <w:p>
      <w:pPr>
        <w:pStyle w:val="BodyText"/>
        <w:rPr/>
      </w:pPr>
      <w:r>
        <w:rPr>
          <w:b/>
          <w:bCs/>
        </w:rPr>
        <w:t>5.2.</w:t>
      </w:r>
      <w:r>
        <w:rPr/>
        <w:t xml:space="preserve"> La Preț se adaugă TVA în cota legală în vigoare la data emiterii facturii.</w:t>
      </w:r>
    </w:p>
    <w:p>
      <w:pPr>
        <w:pStyle w:val="BodyText"/>
        <w:rPr/>
      </w:pPr>
      <w:r>
        <w:rPr>
          <w:b/>
          <w:bCs/>
        </w:rPr>
        <w:t>5.3.</w:t>
      </w:r>
      <w:r>
        <w:rPr/>
        <w:t xml:space="preserve"> Prețul include: proiectare, echipamente, transport până la amplasament în condiția </w:t>
      </w:r>
      <w:r>
        <w:rPr>
          <w:b/>
          <w:bCs/>
        </w:rPr>
        <w:t>DDP Incoterms 2020</w:t>
      </w:r>
      <w:r>
        <w:rPr/>
        <w:t xml:space="preserve">, taxe vamale, asigurare pe transport, ambalaj, manoperă de montaj, materiale auxiliare, organizare de șantier, probe, punere în funcțiune, obținerea certificatului de conformitate, elaborarea DTAC și a documentațiilor pentru avize, verificarea tehnică de calitate a proiectului, </w:t>
      </w:r>
      <w:r>
        <w:rPr>
          <w:b/>
          <w:bCs/>
        </w:rPr>
        <w:t>costurile eventualei reavizări prevăzute la §3.2.1 lit. C pct. (iii) din Caietul de Sarcini</w:t>
      </w:r>
      <w:r>
        <w:rPr/>
        <w:t xml:space="preserve"> — revizuirea Studiului de Soluție, reconfirmarea avizului CTE și actualizarea avizului tehnic de racordare, inclusiv tarifele aferente —, primele de asigurare prevăzute la art. 7.3, costul testelor de la art. 9, </w:t>
      </w:r>
      <w:r>
        <w:rPr>
          <w:b/>
          <w:bCs/>
        </w:rPr>
        <w:t>costul verificărilor anuale de performanță de la art. 13.3¹</w:t>
      </w:r>
      <w:r>
        <w:rPr/>
        <w:t>, costul kitului de continuitate și al actualizării lui, de la art. 20 și costul înscrierilor prevăzute la art. 12.6.</w:t>
      </w:r>
    </w:p>
    <w:p>
      <w:pPr>
        <w:pStyle w:val="BodyText"/>
        <w:rPr/>
      </w:pPr>
      <w:r>
        <w:rPr>
          <w:b/>
          <w:bCs/>
        </w:rPr>
        <w:t>5.4.</w:t>
      </w:r>
      <w:r>
        <w:rPr/>
        <w:t xml:space="preserve"> Prețul nu include: TVA, tariful de racordare stabilit prin avizul tehnic de racordare existent, datorat operatorului de distribuție (tarifele generate de reavizare fiind incluse în preț, potrivit art. 5.3), </w:t>
      </w:r>
      <w:r>
        <w:rPr>
          <w:b/>
          <w:bCs/>
        </w:rPr>
        <w:t>taxele legale de autorizare și cotele datorate Inspectoratului de Stat în Construcții</w:t>
      </w:r>
      <w:r>
        <w:rPr/>
        <w:t>, care sunt datorate de investitor potrivit legii, lucrările modificatoare cerute de Beneficiar în condițiile art. 17.</w:t>
      </w:r>
    </w:p>
    <w:p>
      <w:pPr>
        <w:pStyle w:val="BodyText"/>
        <w:rPr/>
      </w:pPr>
      <w:r>
        <w:rPr>
          <w:b/>
          <w:bCs/>
        </w:rPr>
        <w:t>5.5.</w:t>
      </w:r>
      <w:r>
        <w:rPr/>
        <w:t xml:space="preserve"> Orice lucrări suplimentare sau modificări de soluție se execută exclusiv în baza unui act adițional aprobat în prealabil în scris, în condițiile art. 17. </w:t>
      </w:r>
      <w:r>
        <w:rPr>
          <w:b/>
          <w:bCs/>
        </w:rPr>
        <w:t>Furnizorul nu are dreptul la costuri suplimentare în lipsa actului adițional</w:t>
      </w:r>
      <w:r>
        <w:rPr/>
        <w:t>, chiar dacă lucrările au fost executate cu știința Beneficiarului.</w:t>
      </w:r>
    </w:p>
    <w:p>
      <w:pPr>
        <w:pStyle w:val="BodyText"/>
        <w:rPr/>
      </w:pPr>
      <w:r>
        <w:rPr>
          <w:b/>
          <w:bCs/>
        </w:rPr>
        <w:t>5.6. Fermitatea prețului.</w:t>
      </w:r>
      <w:r>
        <w:rPr/>
        <w:t xml:space="preserve"> Prețul nu se ajustează în niciun temei. Riscul variației cursului de schimb, al prețurilor materiilor prime, al costurilor de transport, al taxelor vamale și al costurilor de finanțare este integral în sarcina Furnizorului, care declară că l-a evaluat și l-a inclus în Preț la data depunerii ofertei. Caietul de Sarcini nu prevede posibilitatea de ajustare a prețului în sensul pct. 6.1 alin. (19) și (20) din Îndrumarul metodologic.</w:t>
      </w:r>
      <w:bookmarkEnd w:id="7"/>
    </w:p>
    <w:p>
      <w:pPr>
        <w:pStyle w:val="Heading3"/>
        <w:rPr/>
      </w:pPr>
      <w:bookmarkStart w:id="8" w:name="art.-6-graficul-de-plăți"/>
      <w:r>
        <w:rPr/>
        <w:t>Art. 6 — Graficul de Plăți</w:t>
      </w:r>
    </w:p>
    <w:p>
      <w:pPr>
        <w:pStyle w:val="FirstParagraph"/>
        <w:rPr/>
      </w:pPr>
      <w:r>
        <w:rPr>
          <w:b/>
          <w:bCs/>
        </w:rPr>
        <w:t>6.1.</w:t>
      </w:r>
      <w:r>
        <w:rPr/>
        <w:t xml:space="preserve"> Plata se face conform graficului de la </w:t>
      </w:r>
      <w:r>
        <w:rPr>
          <w:b/>
          <w:bCs/>
        </w:rPr>
        <w:t>§3.6 din Caietul de Sarcini</w:t>
      </w:r>
      <w:r>
        <w:rPr/>
        <w:t xml:space="preserve">, în patru tranșe, </w:t>
      </w:r>
      <w:r>
        <w:rPr>
          <w:b/>
          <w:bCs/>
        </w:rPr>
        <w:t>fără avans</w:t>
      </w:r>
      <w:r>
        <w:rPr/>
        <w:t>: 60% la livrarea pe amplasament cu FAT semnat, 25% la PIF cu teste trecute, 5% la prima verificare anuală a curbei de retenție și 10% la Recepția Finală.</w:t>
      </w:r>
    </w:p>
    <w:p>
      <w:pPr>
        <w:pStyle w:val="BodyText"/>
        <w:rPr/>
      </w:pPr>
      <w:r>
        <w:rPr>
          <w:b/>
          <w:bCs/>
        </w:rPr>
        <w:t>6.1¹. Termenele până la ordinul de începere.</w:t>
      </w:r>
      <w:r>
        <w:rPr/>
        <w:t xml:space="preserve"> </w:t>
      </w:r>
      <w:r>
        <w:rPr>
          <w:b/>
          <w:bCs/>
        </w:rPr>
        <w:t>Nu se acordă avans.</w:t>
      </w:r>
      <w:r>
        <w:rPr/>
        <w:t xml:space="preserve"> Furnizorul constituie garanția de bună execuție în maximum </w:t>
      </w:r>
      <w:r>
        <w:rPr>
          <w:b/>
          <w:bCs/>
        </w:rPr>
        <w:t>10 zile lucrătoare</w:t>
      </w:r>
      <w:r>
        <w:rPr/>
        <w:t xml:space="preserve"> de la semnare; </w:t>
      </w:r>
      <w:r>
        <w:rPr>
          <w:b/>
          <w:bCs/>
        </w:rPr>
        <w:t>ordinul de începere se emite în maximum 5 zile lucrătoare de la constituirea acesteia</w:t>
      </w:r>
      <w:r>
        <w:rPr/>
        <w:t xml:space="preserve">, simultan cu predarea pachetului de intrare prevăzut la §3.4.1 din Caietul de Sarcini. Nerespectarea de către Furnizor a termenului de constituire decalează corespunzător C0, fără prelungirea duratei controlate. </w:t>
      </w:r>
      <w:r>
        <w:rPr>
          <w:b/>
          <w:bCs/>
        </w:rPr>
        <w:t>Întârzierea predării pachetului de intrare din culpa Beneficiarului decalează corespunzător data ordinului de începere, fără ca durata controlată să curgă.</w:t>
      </w:r>
      <w:r>
        <w:rPr/>
        <w:t xml:space="preserve"> </w:t>
      </w:r>
      <w:r>
        <w:rPr>
          <w:b/>
          <w:bCs/>
        </w:rPr>
        <w:t>Dacă garanția de bună execuție nu este constituită nici în 20 de zile lucrătoare de la expirarea termenului de 10 zile lucrătoare, Beneficiarul poate rezilia Contractul de plin drept</w:t>
      </w:r>
      <w:r>
        <w:rPr/>
        <w:t>, prin notificare scrisă, fără punere în întârziere, fără intervenția instanței și fără termen de remediere; art. 18.3 se aplică în mod corespunzător, iar Beneficiarul poate proceda potrivit §5.5.4 din Caietul de Sarcini.</w:t>
      </w:r>
    </w:p>
    <w:p>
      <w:pPr>
        <w:pStyle w:val="BodyText"/>
        <w:rPr/>
      </w:pPr>
      <w:r>
        <w:rPr>
          <w:b/>
          <w:bCs/>
        </w:rPr>
        <w:t>6.2.</w:t>
      </w:r>
      <w:r>
        <w:rPr/>
        <w:t xml:space="preserve"> Fiecare tranșă se plătește numai contra documentele justificative prevăzute în graficul respectiv. </w:t>
      </w:r>
      <w:r>
        <w:rPr>
          <w:b/>
          <w:bCs/>
        </w:rPr>
        <w:t>Notificarea unilaterală a Furnizorului nu constituie document justificativ.</w:t>
      </w:r>
    </w:p>
    <w:p>
      <w:pPr>
        <w:pStyle w:val="BodyText"/>
        <w:rPr/>
      </w:pPr>
      <w:r>
        <w:rPr>
          <w:b/>
          <w:bCs/>
        </w:rPr>
        <w:t>6.3.</w:t>
      </w:r>
      <w:r>
        <w:rPr/>
        <w:t xml:space="preserve"> Termenul de plată al fiecărei facturi este de 15 zile calendaristice de la emitere. Pentru întârzieri la plată din culpa sa, Beneficiarul datorează, de la scadență și fără punere în întârziere, penalități de </w:t>
      </w:r>
      <w:r>
        <w:rPr>
          <w:b/>
          <w:bCs/>
        </w:rPr>
        <w:t>0,05% pe zi</w:t>
      </w:r>
      <w:r>
        <w:rPr/>
        <w:t xml:space="preserve"> din suma neachitată, care reprezintă </w:t>
      </w:r>
      <w:r>
        <w:rPr>
          <w:b/>
          <w:bCs/>
        </w:rPr>
        <w:t>nivelul dobânzii penalizatoare convenit de Părți în sensul art. 4 din Legea nr. 72/2013</w:t>
      </w:r>
      <w:r>
        <w:rPr/>
        <w:t>, dar nu mai puțin decât dobânda legală penalizatoare calculată potrivit art. 3 din Ordonanța Guvernului nr. 13/2011. Furnizorul are dreptul, suplimentar, la decalarea corespunzătoare a termenelor proprii afectate de întârziere.</w:t>
      </w:r>
    </w:p>
    <w:p>
      <w:pPr>
        <w:pStyle w:val="BodyText"/>
        <w:rPr/>
      </w:pPr>
      <w:r>
        <w:rPr>
          <w:b/>
          <w:bCs/>
        </w:rPr>
        <w:t>6.4. Reținerea de bună execuție.</w:t>
      </w:r>
      <w:r>
        <w:rPr/>
        <w:t xml:space="preserve"> Tranșele de la pozițiile 3 și 4 din §3.6 din Caietul de Sarcini constituie reținerea de bună execuție. </w:t>
      </w:r>
      <w:r>
        <w:rPr>
          <w:b/>
          <w:bCs/>
        </w:rPr>
        <w:t>Nu se aplică nicio altă reținere procentuală.</w:t>
      </w:r>
    </w:p>
    <w:p>
      <w:pPr>
        <w:pStyle w:val="BodyText"/>
        <w:rPr/>
      </w:pPr>
      <w:r>
        <w:rPr>
          <w:b/>
          <w:bCs/>
        </w:rPr>
        <w:t>6.4¹. Înlocuirea reținerii.</w:t>
      </w:r>
      <w:r>
        <w:rPr/>
        <w:t xml:space="preserve"> Sumele reținute se înlocuiesc cu un instrument de garantare echivalent, la solicitarea oricăreia dintre Părți, în condițiile </w:t>
      </w:r>
      <w:r>
        <w:rPr>
          <w:b/>
          <w:bCs/>
        </w:rPr>
        <w:t>§3.6.4 din Caietul de Sarcini</w:t>
      </w:r>
      <w:r>
        <w:rPr/>
        <w:t>. Beneficiarul nu poate refuza înlocuirea dacă instrumentul îndeplinește condițiile de la §3.6.2 și §3.6.3; Furnizorul nu poate refuza solicitarea Beneficiarului formulată cel târziu la data facturării tranșei de la poziția 2 din §3.6 din Caietul de Sarcini și prezintă instrumentul în maximum 15 zile lucrătoare.</w:t>
      </w:r>
    </w:p>
    <w:p>
      <w:pPr>
        <w:pStyle w:val="BodyText"/>
        <w:rPr/>
      </w:pPr>
      <w:r>
        <w:rPr>
          <w:b/>
          <w:bCs/>
        </w:rPr>
        <w:t>6.5.</w:t>
      </w:r>
      <w:r>
        <w:rPr/>
        <w:t xml:space="preserve"> Beneficiarul poate suspenda plățile în cazul unor întârzieri de peste 45 de zile față de Calendarul de Execuție, precum și în cazul neconstituirii sau neprelungirii garanțiilor și asigurărilor prevăzute la art. 7.</w:t>
      </w:r>
    </w:p>
    <w:p>
      <w:pPr>
        <w:pStyle w:val="BodyText"/>
        <w:rPr/>
      </w:pPr>
      <w:r>
        <w:rPr>
          <w:b/>
          <w:bCs/>
        </w:rPr>
        <w:t>6.6.</w:t>
      </w:r>
      <w:r>
        <w:rPr/>
        <w:t xml:space="preserve"> Beneficiarul poate compensa, de plin drept, orice sumă datorată Furnizorului cu orice sumă datorată de acesta cu titlu de penalități, reduceri de preț, </w:t>
      </w:r>
      <w:r>
        <w:rPr>
          <w:b/>
          <w:bCs/>
        </w:rPr>
        <w:t>despăgubiri de performanță conform art. 13.3¹</w:t>
      </w:r>
      <w:r>
        <w:rPr/>
        <w:t>, despăgubiri sau restituiri în temeiul prezentului Contract.</w:t>
      </w:r>
      <w:bookmarkEnd w:id="8"/>
    </w:p>
    <w:p>
      <w:pPr>
        <w:pStyle w:val="Heading3"/>
        <w:rPr/>
      </w:pPr>
      <w:bookmarkStart w:id="9" w:name="art.-7-garanții-financiare-și-asigurări"/>
      <w:r>
        <w:rPr/>
        <w:t>Art. 7 — Garanții financiare și asigurări</w:t>
      </w:r>
    </w:p>
    <w:p>
      <w:pPr>
        <w:pStyle w:val="FirstParagraph"/>
        <w:rPr/>
      </w:pPr>
      <w:r>
        <w:rPr>
          <w:b/>
          <w:bCs/>
        </w:rPr>
        <w:t>7.1. Garanția de bună execuție.</w:t>
      </w:r>
      <w:r>
        <w:rPr/>
        <w:t xml:space="preserve"> Furnizorul constituie, în maximum </w:t>
      </w:r>
      <w:r>
        <w:rPr>
          <w:b/>
          <w:bCs/>
        </w:rPr>
        <w:t>10 zile lucrătoare</w:t>
      </w:r>
      <w:r>
        <w:rPr/>
        <w:t xml:space="preserve"> de la semnarea Contractului, conform art. 6.1¹, o garanție de bună execuție de </w:t>
      </w:r>
      <w:r>
        <w:rPr>
          <w:b/>
          <w:bCs/>
        </w:rPr>
        <w:t>10% din valoarea Contractului</w:t>
      </w:r>
      <w:r>
        <w:rPr/>
        <w:t>, sub una dintre formele prevăzute la §3.6.1, cu respectarea condițiilor de la §3.6.2 și §3.6.3 și a Formularului nr. 12, valabilă până la Recepția Finală plus 30 de zile.</w:t>
      </w:r>
    </w:p>
    <w:p>
      <w:pPr>
        <w:pStyle w:val="BodyText"/>
        <w:rPr/>
      </w:pPr>
      <w:r>
        <w:rPr>
          <w:b/>
          <w:bCs/>
        </w:rPr>
        <w:t>7.2. Prelungirea valabilității.</w:t>
      </w:r>
      <w:r>
        <w:rPr/>
        <w:t xml:space="preserve"> Dacă data Recepției Finale se amână din orice motiv, Furnizorul are obligația de a prelungi corespunzător valabilitatea garanțiilor, cu cel puțin 15 zile calendaristice înainte de expirare. </w:t>
      </w:r>
      <w:r>
        <w:rPr>
          <w:b/>
          <w:bCs/>
        </w:rPr>
        <w:t>Neprelungirea dă Beneficiarului dreptul de a executa garanția în integralitate</w:t>
      </w:r>
      <w:r>
        <w:rPr/>
        <w:t>, suma urmând a fi păstrată drept depozit de garanție până la Recepția Finală.</w:t>
      </w:r>
    </w:p>
    <w:p>
      <w:pPr>
        <w:pStyle w:val="BodyText"/>
        <w:rPr/>
      </w:pPr>
      <w:r>
        <w:rPr>
          <w:b/>
          <w:bCs/>
        </w:rPr>
        <w:t>7.3. Asigurarea lucrărilor.</w:t>
      </w:r>
      <w:r>
        <w:rPr/>
        <w:t xml:space="preserve"> Înainte de începerea lucrărilor pe amplasament, Furnizorul face dovada unei polițe de asigurare a lucrărilor de construcții-montaj (CAR/EAR), la </w:t>
      </w:r>
      <w:r>
        <w:rPr>
          <w:b/>
          <w:bCs/>
        </w:rPr>
        <w:t>100% din valoarea Contractului</w:t>
      </w:r>
      <w:r>
        <w:rPr/>
        <w:t xml:space="preserve">, cu acoperire pentru răspunderea civilă față de terți, în care </w:t>
      </w:r>
      <w:r>
        <w:rPr>
          <w:b/>
          <w:bCs/>
        </w:rPr>
        <w:t>Beneficiarul are calitatea de coasigurat</w:t>
      </w:r>
      <w:r>
        <w:rPr/>
        <w:t>, valabilă pe toată durata execuției.</w:t>
      </w:r>
    </w:p>
    <w:p>
      <w:pPr>
        <w:pStyle w:val="BodyText"/>
        <w:rPr/>
      </w:pPr>
      <w:r>
        <w:rPr>
          <w:b/>
          <w:bCs/>
        </w:rPr>
        <w:t>7.4.</w:t>
      </w:r>
      <w:r>
        <w:rPr/>
        <w:t xml:space="preserve"> Dacă Furnizorul nu constituie sau nu menține asigurarea prevăzută la art. 7.3, Beneficiarul poate încheia el însuși polița și reține prima din sumele datorate, majorată cu 10% cheltuieli administrative.</w:t>
      </w:r>
      <w:bookmarkEnd w:id="5"/>
      <w:bookmarkEnd w:id="9"/>
    </w:p>
    <w:p>
      <w:pPr>
        <w:pStyle w:val="Heading2"/>
        <w:rPr/>
      </w:pPr>
      <w:bookmarkStart w:id="10" w:name="capitolul-iii-execuția"/>
      <w:r>
        <w:rPr/>
        <w:t>CAPITOLUL III — EXECUȚIA</w:t>
      </w:r>
    </w:p>
    <w:p>
      <w:pPr>
        <w:pStyle w:val="Heading3"/>
        <w:rPr/>
      </w:pPr>
      <w:bookmarkStart w:id="11" w:name="X2e248a7a164328de8d75163b3cadb350e70feee"/>
      <w:r>
        <w:rPr/>
        <w:t>Art. 8 — Durata, Calendarul și avertizarea timpurie</w:t>
      </w:r>
    </w:p>
    <w:p>
      <w:pPr>
        <w:pStyle w:val="FirstParagraph"/>
        <w:rPr/>
      </w:pPr>
      <w:r>
        <w:rPr>
          <w:b/>
          <w:bCs/>
        </w:rPr>
        <w:t>8.1.</w:t>
      </w:r>
      <w:r>
        <w:rPr/>
        <w:t xml:space="preserve"> </w:t>
      </w:r>
      <w:r>
        <w:rPr>
          <w:b/>
          <w:bCs/>
        </w:rPr>
        <w:t>Durata controlată de Furnizor</w:t>
      </w:r>
      <w:r>
        <w:rPr/>
        <w:t xml:space="preserve">, astfel cum a fost ofertată în Formularul nr. 6, este de </w:t>
      </w:r>
      <w:r>
        <w:rPr>
          <w:b/>
          <w:bCs/>
        </w:rPr>
        <w:t>………. luni</w:t>
      </w:r>
      <w:r>
        <w:rPr/>
        <w:t xml:space="preserve"> și nu poate depăși </w:t>
      </w:r>
      <w:r>
        <w:rPr>
          <w:b/>
          <w:bCs/>
        </w:rPr>
        <w:t>7 luni</w:t>
      </w:r>
      <w:r>
        <w:rPr/>
        <w:t xml:space="preserve">, plafonul stabilit prin §3.3 lit. E8 din Caietul de Sarcini, din care segmentul S1 nu poate depăși </w:t>
      </w:r>
      <w:r>
        <w:rPr>
          <w:b/>
          <w:bCs/>
        </w:rPr>
        <w:t>3 săptămâni</w:t>
      </w:r>
      <w:r>
        <w:rPr/>
        <w:t xml:space="preserve"> sau, în varianta de la §3.9 din Caietul de Sarcini în care studiul geotehnic revine Furnizorului, </w:t>
      </w:r>
      <w:r>
        <w:rPr>
          <w:b/>
          <w:bCs/>
        </w:rPr>
        <w:t>5 săptămâni</w:t>
      </w:r>
      <w:r>
        <w:rPr/>
        <w:t>.</w:t>
      </w:r>
    </w:p>
    <w:p>
      <w:pPr>
        <w:pStyle w:val="BodyText"/>
        <w:rPr/>
      </w:pPr>
      <w:r>
        <w:rPr>
          <w:b/>
          <w:bCs/>
        </w:rPr>
        <w:t>8.1¹. Structura termenului.</w:t>
      </w:r>
      <w:r>
        <w:rPr/>
        <w:t xml:space="preserve"> Termenul se compune din cele </w:t>
      </w:r>
      <w:r>
        <w:rPr>
          <w:b/>
          <w:bCs/>
        </w:rPr>
        <w:t>patru</w:t>
      </w:r>
      <w:r>
        <w:rPr/>
        <w:t xml:space="preserve"> segmente definite la §3.4.1 din Caietul de Sarcini. Segmentele </w:t>
      </w:r>
      <w:r>
        <w:rPr>
          <w:b/>
          <w:bCs/>
        </w:rPr>
        <w:t>S1 și S3 sunt în răspunderea Furnizorului</w:t>
      </w:r>
      <w:r>
        <w:rPr/>
        <w:t xml:space="preserve"> și atrag penalitățile de la art. 14.2. </w:t>
      </w:r>
      <w:r>
        <w:rPr>
          <w:b/>
          <w:bCs/>
        </w:rPr>
        <w:t>Segmentele S2 — fereastra de autorizare — și S3b — operațiunile care depind de Operatorul de Distribuție — sunt neutre</w:t>
      </w:r>
      <w:r>
        <w:rPr/>
        <w:t xml:space="preserve">; dacă depășesc duratele de referință de 5, respectiv 3 săptămâni, din motive neimputabile Furnizorului, termenul calendaristic total se prelungește automat cu diferența, fără act adițional și fără ca aceasta să constituie prelungire în sensul art. 17.5. </w:t>
      </w:r>
      <w:r>
        <w:rPr>
          <w:b/>
          <w:bCs/>
        </w:rPr>
        <w:t>Durata controlată de Furnizor rămâne neschimbată.</w:t>
      </w:r>
      <w:r>
        <w:rPr/>
        <w:t xml:space="preserve"> Întârzierile cauzate de validarea unității de conversie potrivit §3.3 lit. E6 din Caietul de Sarcini nu intră în segmentul S3b.</w:t>
      </w:r>
    </w:p>
    <w:p>
      <w:pPr>
        <w:pStyle w:val="BodyText"/>
        <w:rPr/>
      </w:pPr>
      <w:r>
        <w:rPr>
          <w:b/>
          <w:bCs/>
        </w:rPr>
        <w:t>8.1².</w:t>
      </w:r>
      <w:r>
        <w:rPr/>
        <w:t xml:space="preserve"> Delimitarea dintre S3 și S3b se face prin </w:t>
      </w:r>
      <w:r>
        <w:rPr>
          <w:b/>
          <w:bCs/>
        </w:rPr>
        <w:t>notificarea de disponibilitate pentru punerea sub tensiune finală</w:t>
      </w:r>
      <w:r>
        <w:rPr/>
        <w:t>, în condițiile de admisibilitate prevăzute la §3.4.1 din Caietul de Sarcini. Notificarea prematură sau incompletă nu oprește curgerea segmentului S3.</w:t>
      </w:r>
    </w:p>
    <w:p>
      <w:pPr>
        <w:pStyle w:val="BodyText"/>
        <w:rPr/>
      </w:pPr>
      <w:r>
        <w:rPr>
          <w:b/>
          <w:bCs/>
        </w:rPr>
        <w:t>8.1³.</w:t>
      </w:r>
      <w:r>
        <w:rPr/>
        <w:t xml:space="preserve"> Plafonul de 3 săptămâni al segmentului S1 este condiționat de predarea de către Beneficiar, la data emiterii ordinului de începere, a pachetului de intrare prevăzut la §3.4.1 din Caietul de Sarcini. Predarea cu întârziere a oricărei componente suspendă curgerea segmentului S1 cu durata întârzierii, prin proces-verbal semnat de Părți.</w:t>
      </w:r>
    </w:p>
    <w:p>
      <w:pPr>
        <w:pStyle w:val="BodyText"/>
        <w:rPr/>
      </w:pPr>
      <w:r>
        <w:rPr>
          <w:b/>
          <w:bCs/>
        </w:rPr>
        <w:t>8.2.</w:t>
      </w:r>
      <w:r>
        <w:rPr/>
        <w:t xml:space="preserve"> Calendarul de Execuție, cu alocarea responsabilităților pe activități conform §3.4.4 din Caietul de Sarcini și cu marcarea distinctă a segmentelor S1, S2, S3 și S3b, este anexă la prezentul Contract și </w:t>
      </w:r>
      <w:r>
        <w:rPr>
          <w:b/>
          <w:bCs/>
        </w:rPr>
        <w:t>se ține în macheta xlsx din Formularul nr. 14 al Caietului de Sarcini</w:t>
      </w:r>
      <w:r>
        <w:rPr/>
        <w:t xml:space="preserve">, fără modificarea structurii foilor și a coloanelor; se pot adăuga rânduri. </w:t>
      </w:r>
      <w:r>
        <w:rPr>
          <w:b/>
          <w:bCs/>
        </w:rPr>
        <w:t>Furnizorul transpune graficul ofertat în machetă cel mai târziu la emiterea ordinului de începere</w:t>
      </w:r>
      <w:r>
        <w:rPr/>
        <w:t xml:space="preserve">; versiunea astfel transpusă, semnată de Părți, este </w:t>
      </w:r>
      <w:r>
        <w:rPr>
          <w:b/>
          <w:bCs/>
        </w:rPr>
        <w:t>versiunea de referință</w:t>
      </w:r>
      <w:r>
        <w:rPr/>
        <w:t xml:space="preserve"> pentru toate termenele din Calendarul de Execuție la care trimit prezentul Contract și Caietul de Sarcini. Furnizorul actualizează macheta lunar și o transmite Beneficiarului împreună cu raportul de progres; actualizarea nu modifică versiunea de referință sau termenele contractuale și nu constituie act adițional. </w:t>
      </w:r>
      <w:r>
        <w:rPr>
          <w:b/>
          <w:bCs/>
        </w:rPr>
        <w:t>Netransmiterea timp de două luni consecutive constituie neexecutare</w:t>
      </w:r>
      <w:r>
        <w:rPr/>
        <w:t xml:space="preserve"> și atrage remediile de la art. 18.</w:t>
      </w:r>
    </w:p>
    <w:p>
      <w:pPr>
        <w:pStyle w:val="BodyText"/>
        <w:rPr/>
      </w:pPr>
      <w:r>
        <w:rPr>
          <w:b/>
          <w:bCs/>
        </w:rPr>
        <w:t>8.2¹. Statutul machetei.</w:t>
      </w:r>
      <w:r>
        <w:rPr/>
        <w:t xml:space="preserve"> Macheta este instrument de planificare și de raportare. Formulele și valorile orientative din ea </w:t>
      </w:r>
      <w:r>
        <w:rPr>
          <w:b/>
          <w:bCs/>
        </w:rPr>
        <w:t>nu prevalează</w:t>
      </w:r>
      <w:r>
        <w:rPr/>
        <w:t xml:space="preserve"> asupra clauzelor prezentului Contract și ale Caietului de Sarcini. Foile de parcurs din machetă, semnate de una sau de ambele Părți, consemnează stadiul obligațiilor; </w:t>
      </w:r>
      <w:r>
        <w:rPr>
          <w:b/>
          <w:bCs/>
        </w:rPr>
        <w:t>semnarea lor nu valorează recepție, acceptare a unei întârzieri sau renunțare la penalități ori la alte drepturi</w:t>
      </w:r>
      <w:r>
        <w:rPr/>
        <w:t xml:space="preserve"> și nu înlocuiește procesele-verbale și notificările prevăzute de prezentul Contract.</w:t>
      </w:r>
    </w:p>
    <w:p>
      <w:pPr>
        <w:pStyle w:val="BodyText"/>
        <w:rPr/>
      </w:pPr>
      <w:r>
        <w:rPr>
          <w:b/>
          <w:bCs/>
        </w:rPr>
        <w:t>8.3.</w:t>
      </w:r>
      <w:r>
        <w:rPr/>
        <w:t xml:space="preserve"> Furnizorul depune notificarea la Operatorul de Distribuție pentru punerea sub tensiune pentru perioada de probe cu cel puțin 3 luni înainte de data propusă, la termenul din Calendarul de Execuție.</w:t>
      </w:r>
    </w:p>
    <w:p>
      <w:pPr>
        <w:pStyle w:val="BodyText"/>
        <w:rPr/>
      </w:pPr>
      <w:r>
        <w:rPr>
          <w:b/>
          <w:bCs/>
        </w:rPr>
        <w:t>8.3¹.</w:t>
      </w:r>
      <w:r>
        <w:rPr/>
        <w:t xml:space="preserve"> Furnizorul predă Beneficiarului DTAC-ul verificat, complet și apt de depunere, la termenul din Calendarul de Execuție, în cadrul segmentului S1. </w:t>
      </w:r>
      <w:r>
        <w:rPr>
          <w:b/>
          <w:bCs/>
        </w:rPr>
        <w:t>Depășirea acestui termen din culpa Furnizorului atrage penalitățile de la art. 14.2</w:t>
      </w:r>
      <w:r>
        <w:rPr/>
        <w:t xml:space="preserve">, calculate de la data prevăzută în Calendarul de Execuție, chiar dacă durata controlată de Furnizor nu este încă depășită. Aceeași sancțiune se aplică depășirii termenului de 5 zile lucrătoare pentru răspunsul la completările de natură tehnică. Penalitățile aferente jalonului DTAC intră în plafonul de la art. 14.2 și </w:t>
      </w:r>
      <w:r>
        <w:rPr>
          <w:b/>
          <w:bCs/>
        </w:rPr>
        <w:t>se compensează cu penalitățile datorate pentru depășirea duratei controlate de Furnizor; dacă aceasta este respectată, sumele reținute cu acest titlu se restituie la Recepția la Terminarea Lucrărilor</w:t>
      </w:r>
      <w:r>
        <w:rPr/>
        <w:t>.</w:t>
      </w:r>
    </w:p>
    <w:p>
      <w:pPr>
        <w:pStyle w:val="BodyText"/>
        <w:rPr/>
      </w:pPr>
      <w:r>
        <w:rPr>
          <w:b/>
          <w:bCs/>
        </w:rPr>
        <w:t>8.4. Avertizarea timpurie.</w:t>
      </w:r>
      <w:r>
        <w:rPr/>
        <w:t xml:space="preserve"> Furnizorul notifică Beneficiarul, în scris, în termen de </w:t>
      </w:r>
      <w:r>
        <w:rPr>
          <w:b/>
          <w:bCs/>
        </w:rPr>
        <w:t>5 zile lucrătoare</w:t>
      </w:r>
      <w:r>
        <w:rPr/>
        <w:t xml:space="preserve"> de la momentul în care a cunoscut sau ar fi trebuit să cunoască orice eveniment de natură să afecteze termenul, prețul sau performanța, indicând cauza, efectul estimat și măsurile de atenuare propuse. </w:t>
      </w:r>
      <w:r>
        <w:rPr>
          <w:b/>
          <w:bCs/>
        </w:rPr>
        <w:t>Nerespectarea acestei obligații atrage decăderea Furnizorului din dreptul de a invoca evenimentul respectiv</w:t>
      </w:r>
      <w:r>
        <w:rPr/>
        <w:t xml:space="preserve"> ca temei de prelungire a termenului sau de exonerare de răspundere.</w:t>
      </w:r>
    </w:p>
    <w:p>
      <w:pPr>
        <w:pStyle w:val="BodyText"/>
        <w:rPr/>
      </w:pPr>
      <w:r>
        <w:rPr>
          <w:b/>
          <w:bCs/>
        </w:rPr>
        <w:t>8.5.</w:t>
      </w:r>
      <w:r>
        <w:rPr/>
        <w:t xml:space="preserve"> Lunar, Furnizorul transmite un raport de progres cu: stadiul fizic pe activități, comparația cu Calendarul de Execuție, abaterile și cauzele lor, statusul comenzilor la furnizorii de echipamente, </w:t>
      </w:r>
      <w:r>
        <w:rPr>
          <w:b/>
          <w:bCs/>
        </w:rPr>
        <w:t>statusul stocului de celule cu serii și date de fabricație</w:t>
      </w:r>
      <w:r>
        <w:rPr/>
        <w:t xml:space="preserve">, statusul avizelor și registrul riscurilor. </w:t>
      </w:r>
      <w:r>
        <w:rPr>
          <w:b/>
          <w:bCs/>
        </w:rPr>
        <w:t>Netransmiterea raportului lunar timp de două luni consecutive constituie neexecutare</w:t>
      </w:r>
      <w:r>
        <w:rPr/>
        <w:t xml:space="preserve"> și atrage remediile de la art. 18; Beneficiarul poate suspenda plata tranșei următoare până la transmiterea raportului.</w:t>
      </w:r>
    </w:p>
    <w:p>
      <w:pPr>
        <w:pStyle w:val="BodyText"/>
        <w:rPr/>
      </w:pPr>
      <w:r>
        <w:rPr>
          <w:b/>
          <w:bCs/>
        </w:rPr>
        <w:t>8.6.</w:t>
      </w:r>
      <w:r>
        <w:rPr/>
        <w:t xml:space="preserve"> În cazul în care întârzierea depășește </w:t>
      </w:r>
      <w:r>
        <w:rPr>
          <w:b/>
          <w:bCs/>
        </w:rPr>
        <w:t>60 de zile calendaristice</w:t>
      </w:r>
      <w:r>
        <w:rPr/>
        <w:t>, Beneficiarul are dreptul să recurgă la orice remediu prevăzut de Contract sau de lege, inclusiv contractarea unor terți pentru finalizarea Lucrărilor, pe cheltuiala Furnizorului, ori rezilierea Contractului.</w:t>
      </w:r>
      <w:bookmarkEnd w:id="11"/>
    </w:p>
    <w:p>
      <w:pPr>
        <w:pStyle w:val="Heading3"/>
        <w:rPr/>
      </w:pPr>
      <w:bookmarkStart w:id="12" w:name="art.-9-recepția-inspecțiile-și-testele"/>
      <w:r>
        <w:rPr/>
        <w:t>Art. 9 — Recepția, inspecțiile și testele</w:t>
      </w:r>
    </w:p>
    <w:p>
      <w:pPr>
        <w:pStyle w:val="FirstParagraph"/>
        <w:rPr/>
      </w:pPr>
      <w:r>
        <w:rPr>
          <w:b/>
          <w:bCs/>
        </w:rPr>
        <w:t>9.0. Recepția documentației de autorizare.</w:t>
      </w:r>
      <w:r>
        <w:rPr/>
        <w:t xml:space="preserve"> DTAC-ul, memoriile tehnice și referatele de verificare se predau Beneficiarului anterior depunerii la autoritatea emitentă, spre luare la cunoștință. Luarea la cunoștință nu diminuează răspunderea Furnizorului pentru conținutul documentației.</w:t>
      </w:r>
    </w:p>
    <w:p>
      <w:pPr>
        <w:pStyle w:val="BodyText"/>
        <w:rPr/>
      </w:pPr>
      <w:r>
        <w:rPr>
          <w:b/>
          <w:bCs/>
        </w:rPr>
        <w:t>9.1. Inspecția pe parcursul fabricației.</w:t>
      </w:r>
      <w:r>
        <w:rPr/>
        <w:t xml:space="preserve"> Beneficiarul sau un terț desemnat are dreptul de a inspecta, cu notificare de 5 zile lucrătoare, fabricarea echipamentelor, la sediul Furnizorului sau al subfurnizorilor săi. Furnizorul asigură accesul și transmite programul de fabricație.</w:t>
      </w:r>
    </w:p>
    <w:p>
      <w:pPr>
        <w:pStyle w:val="BodyText"/>
        <w:rPr/>
      </w:pPr>
      <w:r>
        <w:rPr>
          <w:b/>
          <w:bCs/>
        </w:rPr>
        <w:t>9.2. Inspecția la fabrică (FAT).</w:t>
      </w:r>
      <w:r>
        <w:rPr/>
        <w:t xml:space="preserve"> Anterior expedierii, Beneficiarul sau un terț desemnat participă la inspecția și testarea echipamentelor complete. Furnizorul notifică cu minimum </w:t>
      </w:r>
      <w:r>
        <w:rPr>
          <w:b/>
          <w:bCs/>
        </w:rPr>
        <w:t>15 zile lucrătoare</w:t>
      </w:r>
      <w:r>
        <w:rPr/>
        <w:t xml:space="preserve"> înainte. Rezultatul se consemnează într-un proces-verbal FAT, care include </w:t>
      </w:r>
      <w:r>
        <w:rPr>
          <w:b/>
          <w:bCs/>
        </w:rPr>
        <w:t>lista seriilor și loturilor de celule, datele lor de fabricație și confirmarea producătorului și a modelului declarate în ofertă</w:t>
      </w:r>
      <w:r>
        <w:rPr/>
        <w:t>. Expedierea fără FAT semnat de Beneficiar nu dă drept la plata niciunei tranșe.</w:t>
      </w:r>
    </w:p>
    <w:p>
      <w:pPr>
        <w:pStyle w:val="BodyText"/>
        <w:rPr/>
      </w:pPr>
      <w:r>
        <w:rPr>
          <w:b/>
          <w:bCs/>
        </w:rPr>
        <w:t>9.3. Recepția la livrare.</w:t>
      </w:r>
      <w:r>
        <w:rPr/>
        <w:t xml:space="preserve"> Recepția echipamentelor la livrarea pe amplasament se face în baza unui proces-verbal de predare-primire, după verificarea cantitativă și calitativă și </w:t>
      </w:r>
      <w:r>
        <w:rPr>
          <w:b/>
          <w:bCs/>
        </w:rPr>
        <w:t>confruntarea seriilor cu lista din procesul-verbal FAT</w:t>
      </w:r>
      <w:r>
        <w:rPr/>
        <w:t>. Orice neconcordanță de serie, lot sau dată de fabricație suspendă plata tranșei până la clarificare și constituie indiciu de substituție în sensul art. 12.8.</w:t>
      </w:r>
    </w:p>
    <w:p>
      <w:pPr>
        <w:pStyle w:val="BodyText"/>
        <w:rPr/>
      </w:pPr>
      <w:r>
        <w:rPr>
          <w:b/>
          <w:bCs/>
        </w:rPr>
        <w:t>9.4. Testul de capacitate.</w:t>
      </w:r>
      <w:r>
        <w:rPr/>
        <w:t xml:space="preserve"> Anterior Recepției la Terminarea Lucrărilor se efectuează un test de capacitate, prin care se măsoară </w:t>
      </w:r>
      <w:r>
        <w:rPr>
          <w:b/>
          <w:bCs/>
        </w:rPr>
        <w:t>energia descărcată la bornele de curent alternativ ale instalației de stocare, în punctul de măsurare M1</w:t>
      </w:r>
      <w:r>
        <w:rPr/>
        <w:t>, într-un ciclu complet de la 95% la 5% stare de încărcare, la 25 °C ± 3 °C, cu auxiliarele în funcțiune, cu instrumentar etalonat și trasabil. Rezultatul se compară cu Valoarea Garantată V3 din Formularul nr. 6.</w:t>
      </w:r>
    </w:p>
    <w:p>
      <w:pPr>
        <w:pStyle w:val="BodyText"/>
        <w:rPr/>
      </w:pPr>
      <w:r>
        <w:rPr>
          <w:b/>
          <w:bCs/>
        </w:rPr>
        <w:t>9.4¹. Testul de capacitate în curent continuu.</w:t>
      </w:r>
      <w:r>
        <w:rPr/>
        <w:t xml:space="preserve"> În aceeași sesiune de testare se execută </w:t>
      </w:r>
      <w:r>
        <w:rPr>
          <w:b/>
          <w:bCs/>
        </w:rPr>
        <w:t>testul de capacitate în curent continuu</w:t>
      </w:r>
      <w:r>
        <w:rPr/>
        <w:t xml:space="preserve"> definit la §3.3.0 din Caietul de Sarcini, iar rezultatul se compară cu Valoarea Garantată </w:t>
      </w:r>
      <w:r>
        <w:rPr>
          <w:b/>
          <w:bCs/>
        </w:rPr>
        <w:t>V1</w:t>
      </w:r>
      <w:r>
        <w:rPr/>
        <w:t xml:space="preserve">. Valoarea măsurată se consemnează în procesul-verbal și constituie </w:t>
      </w:r>
      <w:r>
        <w:rPr>
          <w:b/>
          <w:bCs/>
        </w:rPr>
        <w:t>capacitatea nominală de referință</w:t>
      </w:r>
      <w:r>
        <w:rPr/>
        <w:t xml:space="preserve"> pentru determinarea stării de sănătate la verificările anuale de la art. 13.3¹. Neatingerea lui V1 atrage consecințele de la art. 9.6.</w:t>
      </w:r>
    </w:p>
    <w:p>
      <w:pPr>
        <w:pStyle w:val="BodyText"/>
        <w:rPr/>
      </w:pPr>
      <w:r>
        <w:rPr>
          <w:b/>
          <w:bCs/>
        </w:rPr>
        <w:t>9.5. Testele de performanță.</w:t>
      </w:r>
      <w:r>
        <w:rPr/>
        <w:t xml:space="preserve"> În aceeași sesiune de testare se determină:</w:t>
      </w:r>
    </w:p>
    <w:p>
      <w:pPr>
        <w:pStyle w:val="BodyText"/>
        <w:rPr/>
      </w:pPr>
      <w:r>
        <w:rPr>
          <w:b/>
          <w:bCs/>
        </w:rPr>
        <w:t>(a)</w:t>
      </w:r>
      <w:r>
        <w:rPr/>
        <w:t xml:space="preserve"> </w:t>
      </w:r>
      <w:r>
        <w:rPr>
          <w:b/>
          <w:bCs/>
        </w:rPr>
        <w:t>randamentul AC-AC la nivel de sistem</w:t>
      </w:r>
      <w:r>
        <w:rPr/>
        <w:t xml:space="preserve">, cu auxiliarele incluse, prin ciclu complet 95%→5%→95% SoC </w:t>
      </w:r>
      <w:r>
        <w:rPr>
          <w:b/>
          <w:bCs/>
        </w:rPr>
        <w:t>la putere absolută de 2.500 kW</w:t>
      </w:r>
      <w:r>
        <w:rPr/>
        <w:t xml:space="preserve">, conform §3.3 lit. E3, comparat cu Valoarea Garantată V5; </w:t>
      </w:r>
      <w:r>
        <w:rPr>
          <w:b/>
          <w:bCs/>
        </w:rPr>
        <w:t>(b)</w:t>
      </w:r>
      <w:r>
        <w:rPr/>
        <w:t xml:space="preserve"> </w:t>
      </w:r>
      <w:r>
        <w:rPr>
          <w:b/>
          <w:bCs/>
        </w:rPr>
        <w:t>capabilitatea de putere fără derating</w:t>
      </w:r>
      <w:r>
        <w:rPr/>
        <w:t xml:space="preserve"> pe întreaga fereastră 95%→5% SoC, conform §3.3 lit. E18, comparată cu Valorile Garantate V11 și V12, cu extrapolare documentată la temperatura de proiectare dacă temperatura din momentul testului nu o permite; </w:t>
      </w:r>
      <w:r>
        <w:rPr>
          <w:b/>
          <w:bCs/>
        </w:rPr>
        <w:t>(c)</w:t>
      </w:r>
      <w:r>
        <w:rPr/>
        <w:t xml:space="preserve"> </w:t>
      </w:r>
      <w:r>
        <w:rPr>
          <w:b/>
          <w:bCs/>
        </w:rPr>
        <w:t>anduranța termică</w:t>
      </w:r>
      <w:r>
        <w:rPr/>
        <w:t xml:space="preserve"> pe două cicluri complete consecutive la putere nominală, conform §3.3 lit. E19, cu înregistrarea temperaturilor la nivel de modul; </w:t>
      </w:r>
      <w:r>
        <w:rPr>
          <w:b/>
          <w:bCs/>
        </w:rPr>
        <w:t>(d)</w:t>
      </w:r>
      <w:r>
        <w:rPr/>
        <w:t xml:space="preserve"> </w:t>
      </w:r>
      <w:r>
        <w:rPr>
          <w:b/>
          <w:bCs/>
        </w:rPr>
        <w:t>capabilitatea P-Q</w:t>
      </w:r>
      <w:r>
        <w:rPr/>
        <w:t xml:space="preserve"> și încadrarea în limitarea agregată de putere de la §3.2.1 lit. D, inclusiv în regim de încărcare din rețea; </w:t>
      </w:r>
      <w:r>
        <w:rPr>
          <w:b/>
          <w:bCs/>
        </w:rPr>
        <w:t>(e)</w:t>
      </w:r>
      <w:r>
        <w:rPr/>
        <w:t xml:space="preserve"> funcționarea </w:t>
      </w:r>
      <w:r>
        <w:rPr>
          <w:b/>
          <w:bCs/>
        </w:rPr>
        <w:t>logicii de limitare configurabile</w:t>
      </w:r>
      <w:r>
        <w:rPr/>
        <w:t xml:space="preserve"> a încărcării din rețea, conform §3.3 lit. E10c, prin setarea succesivă a parametrului la cel puțin două valori și verificarea comportamentului; </w:t>
      </w:r>
      <w:r>
        <w:rPr>
          <w:b/>
          <w:bCs/>
        </w:rPr>
        <w:t>(f)</w:t>
      </w:r>
      <w:r>
        <w:rPr/>
        <w:t xml:space="preserve"> </w:t>
      </w:r>
      <w:r>
        <w:rPr>
          <w:b/>
          <w:bCs/>
        </w:rPr>
        <w:t>accesul la date și integritatea jurnalelor</w:t>
      </w:r>
      <w:r>
        <w:rPr/>
        <w:t xml:space="preserve">, conform §3.3 lit. E22, prin export efectiv al unui set de date de test. </w:t>
      </w:r>
      <w:r>
        <w:rPr>
          <w:b/>
          <w:bCs/>
        </w:rPr>
        <w:t>(g)</w:t>
      </w:r>
      <w:r>
        <w:rPr/>
        <w:t xml:space="preserve"> </w:t>
      </w:r>
      <w:r>
        <w:rPr>
          <w:b/>
          <w:bCs/>
        </w:rPr>
        <w:t>consumul fix (de repaus) al auxiliarelor</w:t>
      </w:r>
      <w:r>
        <w:rPr/>
        <w:t xml:space="preserve">, definit la §3.3.3 din Caietul de Sarcini, determinat ca sumă dintre consumul înregistrat la punctul de măsurare M3, cu instalația în repaus, fără ciclare, pe un interval neîntrerupt de minimum </w:t>
      </w:r>
      <w:r>
        <w:rPr>
          <w:b/>
          <w:bCs/>
        </w:rPr>
        <w:t>4 ore</w:t>
      </w:r>
      <w:r>
        <w:rPr/>
        <w:t>, și pierderile în gol ale transformatorului de forță din buletinul de încercări individuale emis conform SR EN IEC 60076-1. Rezultatul se compară cu valoarea declarată aplicabilă temperaturii ambiante medii din interval, obținută prin interpolare liniară între valorile V6a1, V6a2 și V6a3.</w:t>
      </w:r>
    </w:p>
    <w:p>
      <w:pPr>
        <w:pStyle w:val="BodyText"/>
        <w:rPr/>
      </w:pPr>
      <w:r>
        <w:rPr>
          <w:b/>
          <w:bCs/>
        </w:rPr>
        <w:t>9.5¹. Protocolul de test.</w:t>
      </w:r>
      <w:r>
        <w:rPr/>
        <w:t xml:space="preserve"> Protocolul, propus de Furnizor în ofertă, se agreează de Părți cu minimum </w:t>
      </w:r>
      <w:r>
        <w:rPr>
          <w:b/>
          <w:bCs/>
        </w:rPr>
        <w:t>30 de zile</w:t>
      </w:r>
      <w:r>
        <w:rPr/>
        <w:t xml:space="preserve"> înainte de execuție. El precizează obligatoriu: instrumentarul, clasa de exactitate și trasabilitatea etalonării; punctele de măsură; condițiile de temperatură ambiantă și metoda de corecție; ferestrele de SoC; criteriile de repetare.</w:t>
      </w:r>
    </w:p>
    <w:p>
      <w:pPr>
        <w:pStyle w:val="BodyText"/>
        <w:rPr/>
      </w:pPr>
      <w:r>
        <w:rPr>
          <w:b/>
          <w:bCs/>
        </w:rPr>
        <w:t>Puterea de execuție a testelor.</w:t>
      </w:r>
      <w:r>
        <w:rPr/>
        <w:t xml:space="preserve"> Testele de la art. 9.4 și 9.5 se execută la puterea de referință de 2.500 kW în măsura în care plafonul agregat de 1.904,44 evacuată și 1.924,44 absorbită kW la punctul comun de cuplare (§3.2.1 lit. A și D) o permite în momentul testului. În caz contrar, testul se execută la puterea maximă admisibilă în acel moment, iar rezultatul se corectează la puterea de referință printr-o </w:t>
      </w:r>
      <w:r>
        <w:rPr>
          <w:b/>
          <w:bCs/>
        </w:rPr>
        <w:t>metodă de corecție inclusă în protocol și substanțiată de Furnizor</w:t>
      </w:r>
      <w:r>
        <w:rPr/>
        <w:t xml:space="preserve">, fără cost suplimentar pentru Beneficiar și fără prelungirea termenului. Imposibilitatea de a atinge puterea de referință din cauza plafonului de rețea </w:t>
      </w:r>
      <w:r>
        <w:rPr>
          <w:b/>
          <w:bCs/>
        </w:rPr>
        <w:t>nu constituie neîndeplinire a unei Valori Garantate</w:t>
      </w:r>
      <w:r>
        <w:rPr/>
        <w:t xml:space="preserve"> și nu declanșează reducerile de la art. 9.6. </w:t>
      </w:r>
      <w:r>
        <w:rPr>
          <w:b/>
          <w:bCs/>
        </w:rPr>
        <w:t>În lipsa acordului asupra protocolului, se aplică protocolul propus de Beneficiar</w:t>
      </w:r>
      <w:r>
        <w:rPr/>
        <w:t>, iar Furnizorul își rezervă dreptul de a consemna obiecțiuni în procesul-verbal.</w:t>
      </w:r>
    </w:p>
    <w:p>
      <w:pPr>
        <w:pStyle w:val="BodyText"/>
        <w:rPr/>
      </w:pPr>
      <w:r>
        <w:rPr>
          <w:b/>
          <w:bCs/>
        </w:rPr>
        <w:t>9.6. Consecințele neatingerii Valorilor Garantate la PIF.</w:t>
      </w:r>
      <w:r>
        <w:rPr/>
        <w:t xml:space="preserve"> Dacă testele constată valori inferioare celor garantate — sau, pentru consumul auxiliar de repaus, superioare —, Furnizorul remediază pe cheltuiala sa, în termen de </w:t>
      </w:r>
      <w:r>
        <w:rPr>
          <w:b/>
          <w:bCs/>
        </w:rPr>
        <w:t>60 de zile</w:t>
      </w:r>
      <w:r>
        <w:rPr/>
        <w:t>, cu repetarea testului. Dacă după remediere valorile garantate nu sunt atinse, Beneficiarul are dreptul, cumulativ:</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3868"/>
        <w:gridCol w:w="5444"/>
      </w:tblGrid>
      <w:tr>
        <w:trPr>
          <w:tblHeader w:val="true"/>
        </w:trPr>
        <w:tc>
          <w:tcPr>
            <w:tcW w:w="3868" w:type="dxa"/>
            <w:tcBorders/>
          </w:tcPr>
          <w:p>
            <w:pPr>
              <w:pStyle w:val="Compact"/>
              <w:jc w:val="left"/>
              <w:rPr>
                <w:i/>
              </w:rPr>
            </w:pPr>
            <w:r>
              <w:rPr>
                <w:i/>
              </w:rPr>
              <w:t>Parametru</w:t>
            </w:r>
          </w:p>
        </w:tc>
        <w:tc>
          <w:tcPr>
            <w:tcW w:w="5444" w:type="dxa"/>
            <w:tcBorders/>
          </w:tcPr>
          <w:p>
            <w:pPr>
              <w:pStyle w:val="Compact"/>
              <w:jc w:val="left"/>
              <w:rPr>
                <w:i/>
              </w:rPr>
            </w:pPr>
            <w:r>
              <w:rPr>
                <w:i/>
              </w:rPr>
              <w:t>Reducere de preț</w:t>
            </w:r>
          </w:p>
        </w:tc>
      </w:tr>
      <w:tr>
        <w:trPr/>
        <w:tc>
          <w:tcPr>
            <w:tcW w:w="3868" w:type="dxa"/>
            <w:tcBorders/>
          </w:tcPr>
          <w:p>
            <w:pPr>
              <w:pStyle w:val="Compact"/>
              <w:jc w:val="left"/>
              <w:rPr>
                <w:i/>
              </w:rPr>
            </w:pPr>
            <w:r>
              <w:rPr>
                <w:b/>
                <w:bCs/>
                <w:i/>
              </w:rPr>
              <w:t>Capacitate nominală c.c. (V1)</w:t>
            </w:r>
            <w:r>
              <w:rPr>
                <w:i/>
              </w:rPr>
              <w:t>, măsurată conform art. 9.4¹</w:t>
            </w:r>
          </w:p>
        </w:tc>
        <w:tc>
          <w:tcPr>
            <w:tcW w:w="5444" w:type="dxa"/>
            <w:tcBorders/>
          </w:tcPr>
          <w:p>
            <w:pPr>
              <w:pStyle w:val="Compact"/>
              <w:jc w:val="left"/>
              <w:rPr>
                <w:i/>
              </w:rPr>
            </w:pPr>
            <w:r>
              <w:rPr>
                <w:b/>
                <w:bCs/>
                <w:i/>
              </w:rPr>
              <w:t>prețul unitar, egal cu Prețul Contractului împărțit la Valoarea Garantată V1, înmulțit cu deficitul de capacitate exprimat în MWh</w:t>
            </w:r>
          </w:p>
        </w:tc>
      </w:tr>
      <w:tr>
        <w:trPr/>
        <w:tc>
          <w:tcPr>
            <w:tcW w:w="3868" w:type="dxa"/>
            <w:tcBorders/>
          </w:tcPr>
          <w:p>
            <w:pPr>
              <w:pStyle w:val="Compact"/>
              <w:jc w:val="left"/>
              <w:rPr>
                <w:i/>
              </w:rPr>
            </w:pPr>
            <w:r>
              <w:rPr>
                <w:i/>
              </w:rPr>
              <w:t>Energie descărcată la bornele de curent alternativ, punctul M1 (V3)</w:t>
            </w:r>
          </w:p>
        </w:tc>
        <w:tc>
          <w:tcPr>
            <w:tcW w:w="5444" w:type="dxa"/>
            <w:tcBorders/>
          </w:tcPr>
          <w:p>
            <w:pPr>
              <w:pStyle w:val="Compact"/>
              <w:jc w:val="left"/>
              <w:rPr>
                <w:i/>
              </w:rPr>
            </w:pPr>
            <w:r>
              <w:rPr>
                <w:b/>
                <w:bCs/>
                <w:i/>
              </w:rPr>
              <w:t>2% din valoarea Contractului pentru fiecare procent de energie sub Valoarea Garantată</w:t>
            </w:r>
          </w:p>
        </w:tc>
      </w:tr>
      <w:tr>
        <w:trPr/>
        <w:tc>
          <w:tcPr>
            <w:tcW w:w="3868" w:type="dxa"/>
            <w:tcBorders/>
          </w:tcPr>
          <w:p>
            <w:pPr>
              <w:pStyle w:val="Compact"/>
              <w:jc w:val="left"/>
              <w:rPr>
                <w:i/>
              </w:rPr>
            </w:pPr>
            <w:r>
              <w:rPr>
                <w:b/>
                <w:bCs/>
                <w:i/>
              </w:rPr>
              <w:t>Energie utilizabilă c.c. (V2)</w:t>
            </w:r>
            <w:r>
              <w:rPr>
                <w:i/>
              </w:rPr>
              <w:t>, determinată din testul de la art. 9.4¹ și din fereastra de stare de încărcare declarată la V2a</w:t>
            </w:r>
          </w:p>
        </w:tc>
        <w:tc>
          <w:tcPr>
            <w:tcW w:w="5444" w:type="dxa"/>
            <w:tcBorders/>
          </w:tcPr>
          <w:p>
            <w:pPr>
              <w:pStyle w:val="Compact"/>
              <w:jc w:val="left"/>
              <w:rPr>
                <w:i/>
              </w:rPr>
            </w:pPr>
            <w:r>
              <w:rPr>
                <w:b/>
                <w:bCs/>
                <w:i/>
              </w:rPr>
              <w:t>prețul unitar ofertat înmulțit cu deficitul exprimat în MWh</w:t>
            </w:r>
            <w:r>
              <w:rPr>
                <w:i/>
              </w:rPr>
              <w:t>, dacă acesta nu este deja acoperit de reducerea aferentă V1</w:t>
            </w:r>
          </w:p>
        </w:tc>
      </w:tr>
      <w:tr>
        <w:trPr/>
        <w:tc>
          <w:tcPr>
            <w:tcW w:w="3868" w:type="dxa"/>
            <w:tcBorders/>
          </w:tcPr>
          <w:p>
            <w:pPr>
              <w:pStyle w:val="Compact"/>
              <w:jc w:val="left"/>
              <w:rPr>
                <w:i/>
              </w:rPr>
            </w:pPr>
            <w:r>
              <w:rPr>
                <w:b/>
                <w:bCs/>
                <w:i/>
              </w:rPr>
              <w:t>Temperatura garantării puterii nominale (V12)</w:t>
            </w:r>
            <w:r>
              <w:rPr>
                <w:i/>
              </w:rPr>
              <w:t>, verificată din curba putere–temperatură din raportul de încercare de tip al producătorului unității de conversie</w:t>
            </w:r>
          </w:p>
        </w:tc>
        <w:tc>
          <w:tcPr>
            <w:tcW w:w="5444" w:type="dxa"/>
            <w:tcBorders/>
          </w:tcPr>
          <w:p>
            <w:pPr>
              <w:pStyle w:val="Compact"/>
              <w:jc w:val="left"/>
              <w:rPr>
                <w:i/>
              </w:rPr>
            </w:pPr>
            <w:r>
              <w:rPr>
                <w:b/>
                <w:bCs/>
                <w:i/>
              </w:rPr>
              <w:t>1% din valoarea Contractului pentru fiecare grad Celsius, calculat proporțional, sub Valoarea Garantată</w:t>
            </w:r>
            <w:r>
              <w:rPr>
                <w:i/>
              </w:rPr>
              <w:t>, fără a depăși 2% înmulțit cu punctajul obținut la subcriteriul A4</w:t>
            </w:r>
          </w:p>
        </w:tc>
      </w:tr>
      <w:tr>
        <w:trPr/>
        <w:tc>
          <w:tcPr>
            <w:tcW w:w="3868" w:type="dxa"/>
            <w:tcBorders/>
          </w:tcPr>
          <w:p>
            <w:pPr>
              <w:pStyle w:val="Compact"/>
              <w:jc w:val="left"/>
              <w:rPr>
                <w:i/>
              </w:rPr>
            </w:pPr>
            <w:r>
              <w:rPr>
                <w:i/>
              </w:rPr>
              <w:t>Randament AC-AC la nivel de sistem (V5)</w:t>
            </w:r>
          </w:p>
        </w:tc>
        <w:tc>
          <w:tcPr>
            <w:tcW w:w="5444" w:type="dxa"/>
            <w:tcBorders/>
          </w:tcPr>
          <w:p>
            <w:pPr>
              <w:pStyle w:val="Compact"/>
              <w:jc w:val="left"/>
              <w:rPr>
                <w:i/>
              </w:rPr>
            </w:pPr>
            <w:r>
              <w:rPr>
                <w:b/>
                <w:bCs/>
                <w:i/>
              </w:rPr>
              <w:t>1,5% din valoarea Contractului pentru fiecare punct procentual sub Valoarea Garantată</w:t>
            </w:r>
          </w:p>
        </w:tc>
      </w:tr>
      <w:tr>
        <w:trPr/>
        <w:tc>
          <w:tcPr>
            <w:tcW w:w="3868" w:type="dxa"/>
            <w:tcBorders/>
          </w:tcPr>
          <w:p>
            <w:pPr>
              <w:pStyle w:val="Compact"/>
              <w:jc w:val="left"/>
              <w:rPr>
                <w:i/>
              </w:rPr>
            </w:pPr>
            <w:r>
              <w:rPr>
                <w:i/>
              </w:rPr>
              <w:t>Putere disponibilă pe fereastra de SoC (V11)</w:t>
            </w:r>
          </w:p>
        </w:tc>
        <w:tc>
          <w:tcPr>
            <w:tcW w:w="5444" w:type="dxa"/>
            <w:tcBorders/>
          </w:tcPr>
          <w:p>
            <w:pPr>
              <w:pStyle w:val="Compact"/>
              <w:jc w:val="left"/>
              <w:rPr>
                <w:i/>
              </w:rPr>
            </w:pPr>
            <w:r>
              <w:rPr>
                <w:b/>
                <w:bCs/>
                <w:i/>
              </w:rPr>
              <w:t>1% din valoarea Contractului pentru fiecare procent de putere sub Valoarea Garantată</w:t>
            </w:r>
          </w:p>
        </w:tc>
      </w:tr>
      <w:tr>
        <w:trPr/>
        <w:tc>
          <w:tcPr>
            <w:tcW w:w="3868" w:type="dxa"/>
            <w:tcBorders/>
          </w:tcPr>
          <w:p>
            <w:pPr>
              <w:pStyle w:val="Compact"/>
              <w:jc w:val="left"/>
              <w:rPr>
                <w:i/>
              </w:rPr>
            </w:pPr>
            <w:r>
              <w:rPr>
                <w:b/>
                <w:bCs/>
                <w:i/>
              </w:rPr>
              <w:t>Consum auxiliar de repaus (V6a2)</w:t>
            </w:r>
            <w:r>
              <w:rPr>
                <w:i/>
              </w:rPr>
              <w:t>, determinat conform art. 9.5 lit. (g)</w:t>
            </w:r>
          </w:p>
        </w:tc>
        <w:tc>
          <w:tcPr>
            <w:tcW w:w="5444" w:type="dxa"/>
            <w:tcBorders/>
          </w:tcPr>
          <w:p>
            <w:pPr>
              <w:pStyle w:val="Compact"/>
              <w:jc w:val="left"/>
              <w:rPr>
                <w:i/>
              </w:rPr>
            </w:pPr>
            <w:r>
              <w:rPr>
                <w:b/>
                <w:bCs/>
                <w:i/>
              </w:rPr>
              <w:t>2% din valoarea Contractului pentru fiecare kW, calculat proporțional, cu care valoarea determinată depășește valoarea declarată aplicabilă cu mai mult de 0,5 kW</w:t>
            </w:r>
            <w:r>
              <w:rPr>
                <w:i/>
              </w:rPr>
              <w:t>, fără a depăși 2% înmulțit cu punctajul obținut la subcriteriul A3</w:t>
            </w:r>
          </w:p>
        </w:tc>
      </w:tr>
    </w:tbl>
    <w:p>
      <w:pPr>
        <w:pStyle w:val="BodyText"/>
        <w:rPr/>
      </w:pPr>
      <w:r>
        <w:rPr/>
        <w:t xml:space="preserve">Reducerile se aplică fără a aduce atingere celorlalte remedii. Dacă abaterea depășește </w:t>
      </w:r>
      <w:r>
        <w:rPr>
          <w:b/>
          <w:bCs/>
        </w:rPr>
        <w:t>5%</w:t>
      </w:r>
      <w:r>
        <w:rPr/>
        <w:t xml:space="preserve"> din oricare dintre Valorile Garantate de mai sus, cu excepția consumului auxiliar de repaus (V6a2) și a temperaturii garantării puterii nominale (V12), Beneficiarul poate refuza recepția și rezilia Contractul din culpa Furnizorului. </w:t>
      </w:r>
      <w:r>
        <w:rPr>
          <w:b/>
          <w:bCs/>
        </w:rPr>
        <w:t>Pentru V12, acest drept există numai dacă temperatura determinată este inferioară temperaturii ambiante maxime de proiectare de la §3.0 din Caietul de Sarcini (42 °C)</w:t>
      </w:r>
      <w:r>
        <w:rPr/>
        <w:t>, caz în care nu este îndeplinit nici pragul de la §3.3 lit. E18.</w:t>
      </w:r>
    </w:p>
    <w:p>
      <w:pPr>
        <w:pStyle w:val="BodyText"/>
        <w:rPr/>
      </w:pPr>
      <w:r>
        <w:rPr>
          <w:b/>
          <w:bCs/>
        </w:rPr>
        <w:t>9.6¹. Baza de calcul a reducerilor de preț.</w:t>
      </w:r>
      <w:r>
        <w:rPr/>
        <w:t xml:space="preserve"> Părțile convin expres că reducerile de la art. 9.6 au fost stabilite prin raportare la prejudiciul previzibil la data încheierii Contractului, determinat astfel:</w:t>
      </w:r>
    </w:p>
    <w:p>
      <w:pPr>
        <w:pStyle w:val="BodyText"/>
        <w:rPr/>
      </w:pPr>
      <w:r>
        <w:rPr>
          <w:b/>
          <w:bCs/>
        </w:rPr>
        <w:t>(a)</w:t>
      </w:r>
      <w:r>
        <w:rPr/>
        <w:t xml:space="preserve"> reducerile aferente randamentului și energiei descărcate au fost determinate pornind de la energia încărcată anual în regimul R1 de la §3.0.2, de la marja unitară netă rezultată din modelul economic al Beneficiarului și de la actualizarea pierderii pe durata garanției de performanță. </w:t>
      </w:r>
      <w:r>
        <w:rPr>
          <w:b/>
          <w:bCs/>
        </w:rPr>
        <w:t>Metoda de determinare și valorile de intrare sunt consemnate în nota de fundamentare de la dosarul achiziției</w:t>
      </w:r>
      <w:r>
        <w:rPr/>
        <w:t>, pusă la dispoziția Furnizorului la cerere;</w:t>
      </w:r>
    </w:p>
    <w:p>
      <w:pPr>
        <w:pStyle w:val="BodyText"/>
        <w:rPr/>
      </w:pPr>
      <w:r>
        <w:rPr>
          <w:b/>
          <w:bCs/>
        </w:rPr>
        <w:t>(b)</w:t>
      </w:r>
      <w:r>
        <w:rPr/>
        <w:t xml:space="preserve"> Părțile constată suplimentar </w:t>
      </w:r>
      <w:r>
        <w:rPr>
          <w:b/>
          <w:bCs/>
        </w:rPr>
        <w:t>expunerea Beneficiarului la corecție financiară pentru neîndeplinirea indicatorului FMC03</w:t>
      </w:r>
      <w:r>
        <w:rPr/>
        <w:t>, care nu este liniară, ci în treaptă, și a cărei valoare maximă este întregul ajutor de stat acordat;</w:t>
      </w:r>
    </w:p>
    <w:p>
      <w:pPr>
        <w:pStyle w:val="BodyText"/>
        <w:rPr/>
      </w:pPr>
      <w:r>
        <w:rPr>
          <w:b/>
          <w:bCs/>
        </w:rPr>
        <w:t>(c)</w:t>
      </w:r>
      <w:r>
        <w:rPr/>
        <w:t xml:space="preserve"> un procent de energie descărcată sub valoarea garantată afectează direct atât veniturile, cât și indicatorul FMC04, motiv pentru care reducerea aferentă este superioară celei de la randament.</w:t>
      </w:r>
    </w:p>
    <w:p>
      <w:pPr>
        <w:pStyle w:val="BodyText"/>
        <w:rPr/>
      </w:pPr>
      <w:r>
        <w:rPr>
          <w:b/>
          <w:bCs/>
        </w:rPr>
        <w:t>(d)</w:t>
      </w:r>
      <w:r>
        <w:rPr/>
        <w:t xml:space="preserve"> reducerea aferentă capacității nominale este egală cu </w:t>
      </w:r>
      <w:r>
        <w:rPr>
          <w:b/>
          <w:bCs/>
        </w:rPr>
        <w:t>prețul unitar pe care Beneficiarul l-a plătit efectiv pentru capacitatea nelivrată</w:t>
      </w:r>
      <w:r>
        <w:rPr/>
        <w:t>, determinat din propria ofertă a Furnizorului. Ea restituie contravaloarea unei prestații neexecutate și nu are, prin construcție, caracter excesiv; ea se cumulează cu celelalte reduceri, întrucât deficitul de capacitate produce, distinct, pierdere de venit și expunere pe indicatorul FMC04.</w:t>
      </w:r>
    </w:p>
    <w:p>
      <w:pPr>
        <w:pStyle w:val="BodyText"/>
        <w:rPr/>
      </w:pPr>
      <w:r>
        <w:rPr>
          <w:b/>
          <w:bCs/>
        </w:rPr>
        <w:t>(e)</w:t>
      </w:r>
      <w:r>
        <w:rPr/>
        <w:t xml:space="preserve"> reducerea aferentă consumului auxiliar de repaus (V6a2) restituie </w:t>
      </w:r>
      <w:r>
        <w:rPr>
          <w:b/>
          <w:bCs/>
        </w:rPr>
        <w:t>echivalentul în preț al punctajului obținut fără acoperire</w:t>
      </w:r>
      <w:r>
        <w:rPr/>
        <w:t xml:space="preserve"> la subcriteriul A3: potrivit formulei de la §7.2 din Caietul de Sarcini, un punct la factorul de preț corespunde, în vecinătatea prețului minim, unei variații de aproximativ 2% a prețului, iar la subcriteriul A3 un kW corespunde unui punct. Toleranța de 0,5 kW acoperă incertitudinea de măsurare și de interpolare.</w:t>
      </w:r>
    </w:p>
    <w:p>
      <w:pPr>
        <w:pStyle w:val="BodyText"/>
        <w:rPr/>
      </w:pPr>
      <w:r>
        <w:rPr>
          <w:b/>
          <w:bCs/>
        </w:rPr>
        <w:t>(f)</w:t>
      </w:r>
      <w:r>
        <w:rPr/>
        <w:t xml:space="preserve"> reducerea aferentă temperaturii garantării puterii nominale (V12) urmează aceeași regulă ca la lit. (e): la subcriteriul A4, un grad Celsius corespunde unui număr de puncte egal cu 5 împărțit la diferența dintre 50 °C și temperatura ambiantă maximă de proiectare de la §3.0 din Caietul de Sarcini, iar un punct la factorul de preț corespunde unei variații de aproximativ 2% a prețului. Reducerea pe grad este produsul celor două valori.</w:t>
      </w:r>
    </w:p>
    <w:p>
      <w:pPr>
        <w:pStyle w:val="BodyText"/>
        <w:rPr/>
      </w:pPr>
      <w:r>
        <w:rPr/>
        <w:t>Părțile constată că reducerile nu sunt vădit excesive în raport cu prejudiciul astfel determinat.</w:t>
      </w:r>
    </w:p>
    <w:p>
      <w:pPr>
        <w:pStyle w:val="BodyText"/>
        <w:rPr/>
      </w:pPr>
      <w:r>
        <w:rPr>
          <w:b/>
          <w:bCs/>
        </w:rPr>
        <w:t>9.6².</w:t>
      </w:r>
      <w:r>
        <w:rPr/>
        <w:t xml:space="preserve"> </w:t>
      </w:r>
      <w:r>
        <w:rPr>
          <w:b/>
          <w:bCs/>
        </w:rPr>
        <w:t>Durata garanției unității de conversie (V18).</w:t>
      </w:r>
      <w:r>
        <w:rPr/>
        <w:t xml:space="preserve"> La punerea în funcțiune, Furnizorul predă certificatul de garanție al producătorului unității de conversie. Dacă durata acoperită de certificat este inferioară Valorii Garantate V18, </w:t>
      </w:r>
      <w:r>
        <w:rPr>
          <w:b/>
          <w:bCs/>
        </w:rPr>
        <w:t>Furnizorul își asumă direct, pe cheltuiala sa, garanția pentru anii neacoperiți</w:t>
      </w:r>
      <w:r>
        <w:rPr/>
        <w:t>, în aceleași condiții de conținut, cu constituirea unei garanții financiare corespunzătoare la cererea Beneficiarului. Neasumarea constituie neexecutare și atrage remediile de la art. 18.</w:t>
      </w:r>
    </w:p>
    <w:p>
      <w:pPr>
        <w:pStyle w:val="BodyText"/>
        <w:rPr/>
      </w:pPr>
      <w:r>
        <w:rPr>
          <w:b/>
          <w:bCs/>
        </w:rPr>
        <w:t>9.7. Recepția la Terminarea Lucrărilor</w:t>
      </w:r>
      <w:r>
        <w:rPr/>
        <w:t xml:space="preserve"> se face în maximum 15 zile calendaristice de la notificarea Furnizorului privind: finalizarea integrală a Lucrărilor; finalizarea cu succes a probelor; remedierea defectelor majore; obținerea PIF și a certificatului de conformitate; </w:t>
      </w:r>
      <w:r>
        <w:rPr>
          <w:b/>
          <w:bCs/>
        </w:rPr>
        <w:t>rezultatul conform al testelor de la art. 9.4 și 9.5</w:t>
      </w:r>
      <w:r>
        <w:rPr/>
        <w:t xml:space="preserve">; predarea documentației complete, inclusiv as-built, carte tehnică și listele de serii; </w:t>
      </w:r>
      <w:r>
        <w:rPr>
          <w:b/>
          <w:bCs/>
        </w:rPr>
        <w:t>predarea kitului de continuitate conform art. 20.2</w:t>
      </w:r>
      <w:r>
        <w:rPr/>
        <w:t>.</w:t>
      </w:r>
    </w:p>
    <w:p>
      <w:pPr>
        <w:pStyle w:val="BodyText"/>
        <w:rPr/>
      </w:pPr>
      <w:r>
        <w:rPr>
          <w:b/>
          <w:bCs/>
        </w:rPr>
        <w:t>9.8.</w:t>
      </w:r>
      <w:r>
        <w:rPr/>
        <w:t xml:space="preserve"> Beneficiarul poate refuza recepția în cazul existenței unor defecte majore sau neconformități care afectează funcționalitatea ori exploatarea normală a sistemului, precum și în cazul substituției neautorizate constatate conform art. 12.8.</w:t>
      </w:r>
    </w:p>
    <w:p>
      <w:pPr>
        <w:pStyle w:val="BodyText"/>
        <w:rPr/>
      </w:pPr>
      <w:r>
        <w:rPr>
          <w:b/>
          <w:bCs/>
        </w:rPr>
        <w:t>9.9.</w:t>
      </w:r>
      <w:r>
        <w:rPr/>
        <w:t xml:space="preserve"> Recepția Finală se face la expirarea perioadei de garanție de 24 de luni de la PIF.</w:t>
      </w:r>
      <w:bookmarkEnd w:id="12"/>
    </w:p>
    <w:p>
      <w:pPr>
        <w:pStyle w:val="Heading3"/>
        <w:rPr/>
      </w:pPr>
      <w:bookmarkStart w:id="13" w:name="art.-10-obligațiile-furnizorului"/>
      <w:r>
        <w:rPr/>
        <w:t>Art. 10 — Obligațiile Furnizorului</w:t>
      </w:r>
    </w:p>
    <w:p>
      <w:pPr>
        <w:pStyle w:val="FirstParagraph"/>
        <w:rPr/>
      </w:pPr>
      <w:r>
        <w:rPr/>
        <w:t xml:space="preserve">Furnizorul se obligă: </w:t>
      </w:r>
      <w:r>
        <w:rPr>
          <w:b/>
          <w:bCs/>
        </w:rPr>
        <w:t>să elaboreze DTAC și să asigure toate obligațiile care îi revin în procesul de autorizare, în condițiile art. 4.5 și ale §3.1.1 lit. (C) din Caietul de Sarcini</w:t>
      </w:r>
      <w:r>
        <w:rPr/>
        <w:t xml:space="preserve">; să elaboreze documentația tehnică completă (PT + PTDE + as-built + PTE) conform legislației și Standardelor Aplicabile; să execute Lucrările în regim la cheie, cu asumarea responsabilității privind proiectarea, selecția echipamentelor, integrarea, compatibilitatea și funcționalitatea finală; </w:t>
      </w:r>
      <w:r>
        <w:rPr>
          <w:b/>
          <w:bCs/>
        </w:rPr>
        <w:t>să livreze un sistem care susține integral Regimul de Operare de Proiectare, starea R2</w:t>
      </w:r>
      <w:r>
        <w:rPr/>
        <w:t xml:space="preserve">; să furnizeze echipamente noi, originale, conforme, cu certificate de calitate, atestate și manuale; să asigure integrarea cu infrastructura existentă și cu cerințele operatorului de distribuție; să obțină avizarea PTE în comisia CTE, să depună DIU și notificarea la Operatorul de Distribuție, și să obțină pe cheltuiala sa, fără prelungirea termenului, eventuala reavizare prevăzută la §3.2.1 lit. C pct. (iii) din Caietul de Sarcini; să execute montajul cu personal calificat și autorizat; să asigure participarea la fazele determinante și să întocmească cartea tehnică; să obțină certificatul de conformitate; </w:t>
      </w:r>
      <w:r>
        <w:rPr>
          <w:b/>
          <w:bCs/>
        </w:rPr>
        <w:t>să demonstreze prin testele de la art. 9 atingerea Valorilor Garantate</w:t>
      </w:r>
      <w:r>
        <w:rPr/>
        <w:t xml:space="preserve">; </w:t>
      </w:r>
      <w:r>
        <w:rPr>
          <w:b/>
          <w:bCs/>
        </w:rPr>
        <w:t>să efectueze verificările anuale de performanță de la art. 13.3¹, pe cheltuiala sa</w:t>
      </w:r>
      <w:r>
        <w:rPr/>
        <w:t xml:space="preserve">; să respecte cerințele de securitate cibernetică de la §3.7 din Caietul de Sarcini; să asigure garanția conform art. 13; </w:t>
      </w:r>
      <w:r>
        <w:rPr>
          <w:b/>
          <w:bCs/>
        </w:rPr>
        <w:t>să continue executarea Lucrărilor pe durata oricărei negocieri, medieri sau proceduri litigioase</w:t>
      </w:r>
      <w:r>
        <w:rPr/>
        <w:t>, cu excepția cazului în care Beneficiarul dispune suspendarea; să păstreze confidențialitatea.</w:t>
      </w:r>
    </w:p>
    <w:p>
      <w:pPr>
        <w:pStyle w:val="BodyText"/>
        <w:rPr/>
      </w:pPr>
      <w:r>
        <w:rPr>
          <w:b/>
          <w:bCs/>
        </w:rPr>
        <w:t>Caracterul neexhaustiv al enumerării.</w:t>
      </w:r>
      <w:r>
        <w:rPr/>
        <w:t xml:space="preserve"> Enumerarea de mai sus are caracter exemplificativ. Furnizorul se obligă </w:t>
      </w:r>
      <w:r>
        <w:rPr>
          <w:b/>
          <w:bCs/>
        </w:rPr>
        <w:t>să respecte integral cerințele Caietului de Sarcini și ale anexelor sale</w:t>
      </w:r>
      <w:r>
        <w:rPr/>
        <w:t xml:space="preserve">, care fac parte integrantă din Contract potrivit art. 3.1, inclusiv pragurile eliminatorii de la §3.3, Valorile Garantate declarate în Formularul nr. 6 și cerințele de operare de la §3.8. </w:t>
      </w:r>
      <w:r>
        <w:rPr>
          <w:b/>
          <w:bCs/>
        </w:rPr>
        <w:t>Nerespectarea oricăreia dintre acestea constituie neexecutare a obligațiilor contractuale</w:t>
      </w:r>
      <w:r>
        <w:rPr/>
        <w:t xml:space="preserve"> și atrage, după caz, remediile de la art. 9.6, art. 13, art. 14 și art. 18.</w:t>
      </w:r>
      <w:bookmarkEnd w:id="13"/>
    </w:p>
    <w:p>
      <w:pPr>
        <w:pStyle w:val="Heading3"/>
        <w:rPr/>
      </w:pPr>
      <w:bookmarkStart w:id="14" w:name="art.-11-obligațiile-beneficiarului"/>
      <w:r>
        <w:rPr/>
        <w:t>Art. 11 — Obligațiile Beneficiarului</w:t>
      </w:r>
    </w:p>
    <w:p>
      <w:pPr>
        <w:pStyle w:val="FirstParagraph"/>
        <w:rPr/>
      </w:pPr>
      <w:r>
        <w:rPr/>
        <w:t xml:space="preserve">Beneficiarul se obligă: să pună la dispoziție certificatul de urbanism, avizele obținute și documentația existentă; </w:t>
      </w:r>
      <w:r>
        <w:rPr>
          <w:b/>
          <w:bCs/>
        </w:rPr>
        <w:t>să depună cererile de aviz și cererea de autorizare, să semneze în calitate de investitor și să susțină documentația la emitent, în condițiile art. 4.6</w:t>
      </w:r>
      <w:r>
        <w:rPr/>
        <w:t xml:space="preserve">; să achite taxele de aviz, taxele legale de autorizare și cotele ISC; </w:t>
      </w:r>
      <w:r>
        <w:rPr>
          <w:b/>
          <w:bCs/>
        </w:rPr>
        <w:t>să obțină autorizația de înființare</w:t>
      </w:r>
      <w:r>
        <w:rPr/>
        <w:t xml:space="preserve">; să asigure accesul liber pe amplasament; să achite tariful de racordare; să achite la termen facturile; să confirme în scris, în maximum 7 zile lucrătoare, deciziile tehnice de competența sa, </w:t>
      </w:r>
      <w:r>
        <w:rPr>
          <w:b/>
          <w:bCs/>
        </w:rPr>
        <w:t>depășirea acestui termen adăugându-se zi cu zi segmentului în curs, fără alte costuri pentru Beneficiar</w:t>
      </w:r>
      <w:r>
        <w:rPr/>
        <w:t xml:space="preserve">; să nominalizeze un diriginte de șantier </w:t>
      </w:r>
      <w:r>
        <w:rPr>
          <w:b/>
          <w:bCs/>
        </w:rPr>
        <w:t>cel târziu la data emiterii ordinului de începere</w:t>
      </w:r>
      <w:r>
        <w:rPr/>
        <w:t xml:space="preserve">; să încheie convenția de exploatare și contractele necesare perioadei de probe; </w:t>
      </w:r>
      <w:r>
        <w:rPr>
          <w:b/>
          <w:bCs/>
        </w:rPr>
        <w:t>să opereze instalația în interiorul Regimului de Operare de Proiectare declarat la §3.0 din Caietul de Sarcini</w:t>
      </w:r>
      <w:r>
        <w:rPr/>
        <w:t>.</w:t>
      </w:r>
      <w:bookmarkEnd w:id="14"/>
    </w:p>
    <w:p>
      <w:pPr>
        <w:pStyle w:val="Heading3"/>
        <w:rPr/>
      </w:pPr>
      <w:bookmarkStart w:id="15" w:name="Xf83b2b5f36d7fa5c3483d2c7a41600cb65c7c5c"/>
      <w:r>
        <w:rPr/>
        <w:t>Art. 12 — Trasabilitate, origine, substituție și transferul proprietății</w:t>
      </w:r>
    </w:p>
    <w:p>
      <w:pPr>
        <w:pStyle w:val="FirstParagraph"/>
        <w:rPr/>
      </w:pPr>
      <w:r>
        <w:rPr>
          <w:b/>
          <w:bCs/>
        </w:rPr>
        <w:t>12.1. Trasabilitatea celulelor.</w:t>
      </w:r>
      <w:r>
        <w:rPr/>
        <w:t xml:space="preserve"> Furnizorul livrează </w:t>
      </w:r>
      <w:r>
        <w:rPr>
          <w:b/>
          <w:bCs/>
        </w:rPr>
        <w:t>celule noi, de clasă A (prime grade)</w:t>
      </w:r>
      <w:r>
        <w:rPr/>
        <w:t xml:space="preserve">. Sunt interzise celulele de clasă B, recondiționate, reparate, remanufacturate sau provenite din aplicații anterioare. Vechimea de la data fabricației până la data livrării pe amplasament nu poate depăși </w:t>
      </w:r>
      <w:r>
        <w:rPr>
          <w:b/>
          <w:bCs/>
        </w:rPr>
        <w:t>6 luni</w:t>
      </w:r>
      <w:r>
        <w:rPr/>
        <w:t>, termen care se suspendă pe durata perioadelor de întârziere neimputabile Furnizorului, constatate conform art. 15.1¹.</w:t>
      </w:r>
    </w:p>
    <w:p>
      <w:pPr>
        <w:pStyle w:val="BodyText"/>
        <w:rPr/>
      </w:pPr>
      <w:r>
        <w:rPr>
          <w:b/>
          <w:bCs/>
        </w:rPr>
        <w:t>12.2.</w:t>
      </w:r>
      <w:r>
        <w:rPr/>
        <w:t xml:space="preserve"> La FAT și la livrare, Furnizorul predă lista completă a seriilor și loturilor de celule, cu datele de fabricație și certificatele de fabricație corespunzătoare.</w:t>
      </w:r>
    </w:p>
    <w:p>
      <w:pPr>
        <w:pStyle w:val="BodyText"/>
        <w:rPr/>
      </w:pPr>
      <w:r>
        <w:rPr>
          <w:b/>
          <w:bCs/>
        </w:rPr>
        <w:t>12.3. Originea.</w:t>
      </w:r>
      <w:r>
        <w:rPr/>
        <w:t xml:space="preserve"> Furnizorul declară țara de origine a fiecărui echipament principal și pune la dispoziție certificatele de origine. Furnizorul garantează că niciun echipament nu provine din surse supuse măsurilor restrictive ale Uniunii Europene.</w:t>
      </w:r>
    </w:p>
    <w:p>
      <w:pPr>
        <w:pStyle w:val="BodyText"/>
        <w:rPr/>
      </w:pPr>
      <w:r>
        <w:rPr>
          <w:b/>
          <w:bCs/>
        </w:rPr>
        <w:t>12.4. Documente de titlu, condiție a tranșei de livrare.</w:t>
      </w:r>
      <w:r>
        <w:rPr/>
        <w:t xml:space="preserve"> Plata tranșei aferente livrării pe amplasament este condiționată de prezentarea, alături de procesul-verbal FAT și de procesul-verbal de predare-primire:</w:t>
      </w:r>
    </w:p>
    <w:p>
      <w:pPr>
        <w:pStyle w:val="BodyText"/>
        <w:rPr/>
      </w:pPr>
      <w:r>
        <w:rPr>
          <w:b/>
          <w:bCs/>
        </w:rPr>
        <w:t>(a)</w:t>
      </w:r>
      <w:r>
        <w:rPr/>
        <w:t xml:space="preserve"> a dovezii plății integrale către producător a echipamentelor livrate, </w:t>
      </w:r>
      <w:r>
        <w:rPr>
          <w:b/>
          <w:bCs/>
        </w:rPr>
        <w:t>sau</w:t>
      </w:r>
      <w:r>
        <w:rPr/>
        <w:t xml:space="preserve"> a unei confirmări scrise a producătorului că nu deține și nu va invoca vreo rezervă a proprietății asupra echipamentelor identificate prin serie și că acestea au fost expediate libere de sarcini; </w:t>
      </w:r>
      <w:r>
        <w:rPr>
          <w:b/>
          <w:bCs/>
        </w:rPr>
        <w:t>(b)</w:t>
      </w:r>
      <w:r>
        <w:rPr/>
        <w:t xml:space="preserve"> a declarației Furnizorului că echipamentele sunt libere de orice garanție reală, sechestru sau drept de retenție; </w:t>
      </w:r>
      <w:r>
        <w:rPr>
          <w:b/>
          <w:bCs/>
        </w:rPr>
        <w:t>(c)</w:t>
      </w:r>
      <w:r>
        <w:rPr/>
        <w:t xml:space="preserve"> a </w:t>
      </w:r>
      <w:r>
        <w:rPr>
          <w:b/>
          <w:bCs/>
        </w:rPr>
        <w:t>declarației de conformitate UE</w:t>
      </w:r>
      <w:r>
        <w:rPr/>
        <w:t xml:space="preserve"> emise în temeiul Regulamentului (UE) 2023/1542 pentru bateria livrată, potrivit §3.3 lit. E23 din Caietul de Sarcini.</w:t>
      </w:r>
    </w:p>
    <w:p>
      <w:pPr>
        <w:pStyle w:val="BodyText"/>
        <w:rPr/>
      </w:pPr>
      <w:r>
        <w:rPr>
          <w:b/>
          <w:bCs/>
        </w:rPr>
        <w:t>12.5. Transferul proprietății.</w:t>
      </w:r>
      <w:r>
        <w:rPr/>
        <w:t xml:space="preserve"> Dreptul de proprietate asupra echipamentelor livrate se transferă Beneficiarului </w:t>
      </w:r>
      <w:r>
        <w:rPr>
          <w:b/>
          <w:bCs/>
        </w:rPr>
        <w:t>la data plății tranșei de la poziția 1 din §3.6 din Caietul de Sarcini, dar nu mai devreme de semnarea procesului-verbal de predare-primire pe amplasament</w:t>
      </w:r>
      <w:r>
        <w:rPr/>
        <w:t xml:space="preserve">. Transferul </w:t>
      </w:r>
      <w:r>
        <w:rPr>
          <w:b/>
          <w:bCs/>
        </w:rPr>
        <w:t>nu determină transferul riscurilor</w:t>
      </w:r>
      <w:r>
        <w:rPr/>
        <w:t>, care rămân în sarcina Furnizorului până la Recepția la Terminarea Lucrărilor.</w:t>
      </w:r>
    </w:p>
    <w:p>
      <w:pPr>
        <w:pStyle w:val="BodyText"/>
        <w:rPr/>
      </w:pPr>
      <w:r>
        <w:rPr>
          <w:b/>
          <w:bCs/>
        </w:rPr>
        <w:t>12.6.</w:t>
      </w:r>
      <w:r>
        <w:rPr/>
        <w:t xml:space="preserve"> Furnizorul are obligația de a înscrie, pe cheltuiala sa, în </w:t>
      </w:r>
      <w:r>
        <w:rPr>
          <w:b/>
          <w:bCs/>
        </w:rPr>
        <w:t>Registrul Național de Publicitate Mobiliară</w:t>
      </w:r>
      <w:r>
        <w:rPr/>
        <w:t xml:space="preserve">, mențiunea privind dreptul de proprietate al Beneficiarului asupra echipamentelor, în termen de 5 zile lucrătoare de la transferul proprietății potrivit art. 12.5, și de a transmite Beneficiarului dovada înscrierii. </w:t>
      </w:r>
      <w:r>
        <w:rPr>
          <w:b/>
          <w:bCs/>
        </w:rPr>
        <w:t>Neînscrierea în termen constituie neexecutare</w:t>
      </w:r>
      <w:r>
        <w:rPr/>
        <w:t xml:space="preserve"> și dă Beneficiarului dreptul de a efectua înscrierea pe cheltuiala Furnizorului, prin reținere din prima plată scadentă.</w:t>
      </w:r>
    </w:p>
    <w:p>
      <w:pPr>
        <w:pStyle w:val="BodyText"/>
        <w:rPr/>
      </w:pPr>
      <w:r>
        <w:rPr>
          <w:b/>
          <w:bCs/>
        </w:rPr>
        <w:t>12.7.</w:t>
      </w:r>
      <w:r>
        <w:rPr/>
        <w:t xml:space="preserve"> Furnizorul nu are dreptul de a greva, gaja, ipoteca sau înstrăina echipamentele livrate pe amplasament, nici de a permite instituirea vreunei garanții asupra lor.</w:t>
      </w:r>
    </w:p>
    <w:p>
      <w:pPr>
        <w:pStyle w:val="BodyText"/>
        <w:rPr/>
      </w:pPr>
      <w:r>
        <w:rPr>
          <w:b/>
          <w:bCs/>
        </w:rPr>
        <w:t>12.8. Clauză anti-substituție.</w:t>
      </w:r>
      <w:r>
        <w:rPr/>
        <w:t xml:space="preserve"> </w:t>
      </w:r>
      <w:r>
        <w:rPr>
          <w:b/>
          <w:bCs/>
        </w:rPr>
        <w:t>Producătorul și modelul celulei de baterie, nominalizate în ofertă (Formularul nr. 6, poziția V15), constituie obligație contractuală.</w:t>
      </w:r>
      <w:r>
        <w:rPr/>
        <w:t xml:space="preserve"> Aceeași regulă se aplică unității de conversie, sistemului EMS și transformatorului de forță.</w:t>
      </w:r>
    </w:p>
    <w:p>
      <w:pPr>
        <w:pStyle w:val="BodyText"/>
        <w:rPr/>
      </w:pPr>
      <w:r>
        <w:rPr>
          <w:b/>
          <w:bCs/>
        </w:rPr>
        <w:t>(a)</w:t>
      </w:r>
      <w:r>
        <w:rPr/>
        <w:t xml:space="preserve"> Substituția este admisă </w:t>
      </w:r>
      <w:r>
        <w:rPr>
          <w:b/>
          <w:bCs/>
        </w:rPr>
        <w:t>exclusiv</w:t>
      </w:r>
      <w:r>
        <w:rPr/>
        <w:t xml:space="preserve"> cu acordul scris prealabil al Beneficiarului, în condițiile art. 17.4, și numai însoțită de o </w:t>
      </w:r>
      <w:r>
        <w:rPr>
          <w:b/>
          <w:bCs/>
        </w:rPr>
        <w:t>dovadă de echivalență</w:t>
      </w:r>
      <w:r>
        <w:rPr/>
        <w:t xml:space="preserve"> care demonstrează caracteristici egale sau superioare pe fiecare dintre parametrii care fac obiectul Valorilor Garantate, verificată, la solicitarea Beneficiarului și pe cheltuiala Furnizorului, de un expert independent. </w:t>
      </w:r>
      <w:r>
        <w:rPr>
          <w:b/>
          <w:bCs/>
        </w:rPr>
        <w:t>(b)</w:t>
      </w:r>
      <w:r>
        <w:rPr/>
        <w:t xml:space="preserve"> Substituția nu poate afecta niciuna dintre Valorile Garantate, nici prețul, nici durata. </w:t>
      </w:r>
      <w:r>
        <w:rPr>
          <w:b/>
          <w:bCs/>
        </w:rPr>
        <w:t>(c)</w:t>
      </w:r>
      <w:r>
        <w:rPr/>
        <w:t xml:space="preserve"> </w:t>
      </w:r>
      <w:r>
        <w:rPr>
          <w:b/>
          <w:bCs/>
        </w:rPr>
        <w:t>Substituția neautorizată constituie neconformitate esențială</w:t>
      </w:r>
      <w:r>
        <w:rPr/>
        <w:t xml:space="preserve">, dă Beneficiarului dreptul de a refuza recepția, de a executa garanția de bună execuție și de a rezilia Contractul din culpa Furnizorului, fără a aduce atingere dreptului la repararea integrală a prejudiciului. </w:t>
      </w:r>
      <w:r>
        <w:rPr>
          <w:b/>
          <w:bCs/>
        </w:rPr>
        <w:t>(d)</w:t>
      </w:r>
      <w:r>
        <w:rPr/>
        <w:t xml:space="preserve"> Constatarea unei neconcordanțe între seriile, loturile sau producătorul înscrise în procesul-verbal FAT și cele livrate pe amplasament constituie </w:t>
      </w:r>
      <w:r>
        <w:rPr>
          <w:b/>
          <w:bCs/>
        </w:rPr>
        <w:t>prezumție de substituție neautorizată</w:t>
      </w:r>
      <w:r>
        <w:rPr/>
        <w:t>, care poate fi răsturnată de Furnizor prin dovadă contrară în termen de 10 zile lucrătoare.</w:t>
      </w:r>
      <w:bookmarkEnd w:id="10"/>
      <w:bookmarkEnd w:id="15"/>
    </w:p>
    <w:p>
      <w:pPr>
        <w:pStyle w:val="Heading2"/>
        <w:rPr/>
      </w:pPr>
      <w:bookmarkStart w:id="16" w:name="X9f8e7ffdb7ee354b73a840c0f78ec8d6eb040a4"/>
      <w:r>
        <w:rPr/>
        <w:t>CAPITOLUL IV — GARANȚII TEHNICE ȘI RĂSPUNDERE</w:t>
      </w:r>
    </w:p>
    <w:p>
      <w:pPr>
        <w:pStyle w:val="Heading3"/>
        <w:rPr/>
      </w:pPr>
      <w:bookmarkStart w:id="17" w:name="art.-13-garanțiile-tehnice"/>
      <w:r>
        <w:rPr/>
        <w:t>Art. 13 — Garanțiile tehnice</w:t>
      </w:r>
    </w:p>
    <w:p>
      <w:pPr>
        <w:pStyle w:val="FirstParagraph"/>
        <w:rPr/>
      </w:pPr>
      <w:r>
        <w:rPr>
          <w:b/>
          <w:bCs/>
        </w:rPr>
        <w:t>13.1.</w:t>
      </w:r>
      <w:r>
        <w:rPr/>
        <w:t xml:space="preserve"> Furnizorul garantează că echipamentele sunt noi, originale și conforme, că Lucrările sunt executate conform standardelor profesionale aplicabile unui proiect EPC turn-key, că sistemul va funcționa conform Valorilor Garantate </w:t>
      </w:r>
      <w:r>
        <w:rPr>
          <w:b/>
          <w:bCs/>
        </w:rPr>
        <w:t>în interiorul Regimului de Operare de Proiectare, starea R2</w:t>
      </w:r>
      <w:r>
        <w:rPr/>
        <w:t>, și că materialele, echipamentele și Lucrările sunt lipsite de defecte de proiectare, configurare, integrare și montaj.</w:t>
      </w:r>
    </w:p>
    <w:p>
      <w:pPr>
        <w:pStyle w:val="BodyText"/>
        <w:rPr/>
      </w:pPr>
      <w:r>
        <w:rPr>
          <w:b/>
          <w:bCs/>
        </w:rPr>
        <w:t>13.2.</w:t>
      </w:r>
      <w:r>
        <w:rPr/>
        <w:t xml:space="preserve"> Perioadele și condițiile de garanție sunt cele de la </w:t>
      </w:r>
      <w:r>
        <w:rPr>
          <w:b/>
          <w:bCs/>
        </w:rPr>
        <w:t>§3.5 din Caietul de Sarcini</w:t>
      </w:r>
      <w:r>
        <w:rPr/>
        <w:t>.</w:t>
      </w:r>
    </w:p>
    <w:p>
      <w:pPr>
        <w:pStyle w:val="BodyText"/>
        <w:rPr/>
      </w:pPr>
      <w:r>
        <w:rPr>
          <w:b/>
          <w:bCs/>
        </w:rPr>
        <w:t>13.3. Curba de retenție — garanție bidimensională.</w:t>
      </w:r>
      <w:r>
        <w:rPr/>
        <w:t xml:space="preserve"> Furnizorul garantează retenția capacității ca </w:t>
      </w:r>
      <w:r>
        <w:rPr>
          <w:b/>
          <w:bCs/>
        </w:rPr>
        <w:t>valoarea cea mai mică dintre</w:t>
      </w:r>
      <w:r>
        <w:rPr/>
        <w:t>:</w:t>
      </w:r>
    </w:p>
    <w:p>
      <w:pPr>
        <w:pStyle w:val="BodyText"/>
        <w:rPr/>
      </w:pPr>
      <w:r>
        <w:rPr>
          <w:b/>
          <w:bCs/>
        </w:rPr>
        <w:t>(a)</w:t>
      </w:r>
      <w:r>
        <w:rPr/>
        <w:t xml:space="preserve"> curba calendaristică an cu an declarată în Formularul nr. 6 pct. 4 lit. (a), și </w:t>
      </w:r>
      <w:r>
        <w:rPr>
          <w:b/>
          <w:bCs/>
        </w:rPr>
        <w:t>(b)</w:t>
      </w:r>
      <w:r>
        <w:rPr/>
        <w:t xml:space="preserve"> curba în funcție de energia descărcată cumulată declarată în Formularul nr. 6 pct. 4 lit. (b),</w:t>
      </w:r>
    </w:p>
    <w:p>
      <w:pPr>
        <w:pStyle w:val="BodyText"/>
        <w:rPr/>
      </w:pPr>
      <w:r>
        <w:rPr/>
        <w:t>ambele valabile în interiorul Regimului de Operare de Proiectare, starea R2.</w:t>
      </w:r>
    </w:p>
    <w:p>
      <w:pPr>
        <w:pStyle w:val="BodyText"/>
        <w:rPr/>
      </w:pPr>
      <w:r>
        <w:rPr/>
        <w:t xml:space="preserve">Dacă starea de sănătate măsurată este inferioară valorii garantate astfel determinate cu mai mult de </w:t>
      </w:r>
      <w:r>
        <w:rPr>
          <w:b/>
          <w:bCs/>
        </w:rPr>
        <w:t>2 puncte procentuale</w:t>
      </w:r>
      <w:r>
        <w:rPr/>
        <w:t>, Furnizorul are obligația de a completa capacitatea, pe cheltuiala sa, prin adăugare de module (</w:t>
      </w:r>
      <w:r>
        <w:rPr>
          <w:i/>
          <w:iCs/>
        </w:rPr>
        <w:t>augmentation</w:t>
      </w:r>
      <w:r>
        <w:rPr/>
        <w:t xml:space="preserve">), în termen de </w:t>
      </w:r>
      <w:r>
        <w:rPr>
          <w:b/>
          <w:bCs/>
        </w:rPr>
        <w:t>120 de zile</w:t>
      </w:r>
      <w:r>
        <w:rPr/>
        <w:t xml:space="preserve"> de la constatare, cu refacerea testului de capacitate. Capacitatea de augmentare este garantată prin §3.3 lit. E21.</w:t>
      </w:r>
    </w:p>
    <w:p>
      <w:pPr>
        <w:pStyle w:val="BodyText"/>
        <w:rPr/>
      </w:pPr>
      <w:r>
        <w:rPr/>
        <w:t xml:space="preserve">Independent de curbele de la lit. (a) și (b), </w:t>
      </w:r>
      <w:r>
        <w:rPr>
          <w:b/>
          <w:bCs/>
        </w:rPr>
        <w:t>capacitatea nominală măsurată în curent continuu nu poate fi inferioară valorii de 6,00 MWh atât timp cât energia descărcată cumulată, măsurată la M1, nu a atins valoarea garantată V17</w:t>
      </w:r>
      <w:r>
        <w:rPr/>
        <w:t>. Sub acest prag, Furnizorul augmentează instalația pe cheltuiala sa, în termen de 90 de zile de la constatare, astfel încât capacitatea măsurată să revină cel puțin la 6,00 MWh. După atingerea valorii V17, obligația încetează, iar retenția rămâne guvernată exclusiv de curbele de la lit. (a) și (b).</w:t>
      </w:r>
    </w:p>
    <w:p>
      <w:pPr>
        <w:pStyle w:val="BodyText"/>
        <w:rPr/>
      </w:pPr>
      <w:r>
        <w:rPr>
          <w:b/>
          <w:bCs/>
        </w:rPr>
        <w:t>13.3¹. Mecanismul de performanță garantată — verificarea anuală.</w:t>
      </w:r>
      <w:r>
        <w:rPr/>
        <w:t xml:space="preserve"> Anual, la fiecare 12 luni de la PIF și pe toată durata garanției de performanță, Părțile efectuează o </w:t>
      </w:r>
      <w:r>
        <w:rPr>
          <w:b/>
          <w:bCs/>
        </w:rPr>
        <w:t>verificare de performanță</w:t>
      </w:r>
      <w:r>
        <w:rPr/>
        <w:t>, pe cheltuiala Furnizorului, care determină:</w:t>
      </w:r>
    </w:p>
    <w:p>
      <w:pPr>
        <w:pStyle w:val="BodyText"/>
        <w:rPr/>
      </w:pPr>
      <w:r>
        <w:rPr>
          <w:b/>
          <w:bCs/>
        </w:rPr>
        <w:t>(a)</w:t>
      </w:r>
      <w:r>
        <w:rPr/>
        <w:t xml:space="preserve"> </w:t>
      </w:r>
      <w:r>
        <w:rPr>
          <w:b/>
          <w:bCs/>
        </w:rPr>
        <w:t>starea de sănătate</w:t>
      </w:r>
      <w:r>
        <w:rPr/>
        <w:t xml:space="preserve">, determinată prin </w:t>
      </w:r>
      <w:r>
        <w:rPr>
          <w:b/>
          <w:bCs/>
        </w:rPr>
        <w:t>testul de capacitate în curent continuu</w:t>
      </w:r>
      <w:r>
        <w:rPr/>
        <w:t xml:space="preserve"> definit la §3.3.0 din Caietul de Sarcini, executat conform protocolului de la art. 9.5¹ și raportată la Valoarea Garantată V1, comparată cu valoarea garantată bidimensional conform art. 13.3; </w:t>
      </w:r>
      <w:r>
        <w:rPr>
          <w:b/>
          <w:bCs/>
        </w:rPr>
        <w:t>(b)</w:t>
      </w:r>
      <w:r>
        <w:rPr/>
        <w:t xml:space="preserve"> </w:t>
      </w:r>
      <w:r>
        <w:rPr>
          <w:b/>
          <w:bCs/>
        </w:rPr>
        <w:t>randamentul AC-AC la nivel de sistem</w:t>
      </w:r>
      <w:r>
        <w:rPr/>
        <w:t xml:space="preserve">, prin test conform art. 9.5 lit. (a), comparat cu Valoarea Garantată V5 pentru anii 1–5, respectiv cu V5 − 1,5 puncte procentuale pentru anii 6–10 (§3.5); </w:t>
      </w:r>
      <w:r>
        <w:rPr>
          <w:b/>
          <w:bCs/>
        </w:rPr>
        <w:t>(c)</w:t>
      </w:r>
      <w:r>
        <w:rPr/>
        <w:t xml:space="preserve"> </w:t>
      </w:r>
      <w:r>
        <w:rPr>
          <w:b/>
          <w:bCs/>
        </w:rPr>
        <w:t>disponibilitatea realizată</w:t>
      </w:r>
      <w:r>
        <w:rPr/>
        <w:t xml:space="preserve"> în anul încheiat, calculată din jurnalele EMS conform definiției de la §3.3.2, comparată cu Valorile Garantate V7 și V8.</w:t>
      </w:r>
    </w:p>
    <w:p>
      <w:pPr>
        <w:pStyle w:val="BodyText"/>
        <w:rPr/>
      </w:pPr>
      <w:r>
        <w:rPr>
          <w:b/>
          <w:bCs/>
        </w:rPr>
        <w:t>Determinări intermediare ale disponibilității.</w:t>
      </w:r>
      <w:r>
        <w:rPr/>
        <w:t xml:space="preserve"> Beneficiarul poate determina disponibilitatea pentru orice lună calendaristică încheiată, pe baza accesului la date de la art. 13.8 și a definiției de la §3.3.2 din Caietul de Sarcini, și comunică rezultatul Furnizorului. Dacă disponibilitatea lunară este inferioară Valorii Garantate V7, Furnizorul transmite, în </w:t>
      </w:r>
      <w:r>
        <w:rPr>
          <w:b/>
          <w:bCs/>
        </w:rPr>
        <w:t>10 zile lucrătoare</w:t>
      </w:r>
      <w:r>
        <w:rPr/>
        <w:t xml:space="preserve"> de la comunicare, un plan de remediere cu cauzele și măsurile corective; netransmiterea planului în termen dă Beneficiarului dreptul prevăzut la art. 13.6. Despăgubirea din tabelul de mai jos se calculează exclusiv pe disponibilitatea anuală.</w:t>
      </w:r>
    </w:p>
    <w:p>
      <w:pPr>
        <w:pStyle w:val="BodyText"/>
        <w:rPr/>
      </w:pPr>
      <w:r>
        <w:rPr/>
        <w:t>Rezultatele se consemnează într-un proces-verbal semnat de ambele Părți, la care se anexează exportul de date din EMS care a stat la baza determinării.</w:t>
      </w:r>
    </w:p>
    <w:p>
      <w:pPr>
        <w:pStyle w:val="BodyText"/>
        <w:rPr/>
      </w:pPr>
      <w:r>
        <w:rPr>
          <w:b/>
          <w:bCs/>
        </w:rPr>
        <w:t>Consecințe, aplicabile cumulativ și fără punere în întârziere:</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1995"/>
        <w:gridCol w:w="7317"/>
      </w:tblGrid>
      <w:tr>
        <w:trPr>
          <w:tblHeader w:val="true"/>
        </w:trPr>
        <w:tc>
          <w:tcPr>
            <w:tcW w:w="1995" w:type="dxa"/>
            <w:tcBorders/>
          </w:tcPr>
          <w:p>
            <w:pPr>
              <w:pStyle w:val="Compact"/>
              <w:jc w:val="left"/>
              <w:rPr>
                <w:i/>
              </w:rPr>
            </w:pPr>
            <w:r>
              <w:rPr>
                <w:i/>
              </w:rPr>
              <w:t>Constatare</w:t>
            </w:r>
          </w:p>
        </w:tc>
        <w:tc>
          <w:tcPr>
            <w:tcW w:w="7317" w:type="dxa"/>
            <w:tcBorders/>
          </w:tcPr>
          <w:p>
            <w:pPr>
              <w:pStyle w:val="Compact"/>
              <w:jc w:val="left"/>
              <w:rPr>
                <w:i/>
              </w:rPr>
            </w:pPr>
            <w:r>
              <w:rPr>
                <w:i/>
              </w:rPr>
              <w:t>Consecință</w:t>
            </w:r>
          </w:p>
        </w:tc>
      </w:tr>
      <w:tr>
        <w:trPr/>
        <w:tc>
          <w:tcPr>
            <w:tcW w:w="1995" w:type="dxa"/>
            <w:tcBorders/>
          </w:tcPr>
          <w:p>
            <w:pPr>
              <w:pStyle w:val="Compact"/>
              <w:jc w:val="left"/>
              <w:rPr>
                <w:i/>
              </w:rPr>
            </w:pPr>
            <w:r>
              <w:rPr>
                <w:i/>
              </w:rPr>
              <w:t xml:space="preserve">SoH sub curba garantată cu </w:t>
            </w:r>
            <w:r>
              <w:rPr>
                <w:b/>
                <w:bCs/>
                <w:i/>
              </w:rPr>
              <w:t>până la 2 pp</w:t>
            </w:r>
          </w:p>
        </w:tc>
        <w:tc>
          <w:tcPr>
            <w:tcW w:w="7317" w:type="dxa"/>
            <w:tcBorders/>
          </w:tcPr>
          <w:p>
            <w:pPr>
              <w:pStyle w:val="Compact"/>
              <w:jc w:val="left"/>
              <w:rPr>
                <w:i/>
              </w:rPr>
            </w:pPr>
            <w:r>
              <w:rPr>
                <w:i/>
              </w:rPr>
              <w:t>notificare și plan de remediere în 30 de zile</w:t>
            </w:r>
          </w:p>
        </w:tc>
      </w:tr>
      <w:tr>
        <w:trPr/>
        <w:tc>
          <w:tcPr>
            <w:tcW w:w="1995" w:type="dxa"/>
            <w:tcBorders/>
          </w:tcPr>
          <w:p>
            <w:pPr>
              <w:pStyle w:val="Compact"/>
              <w:jc w:val="left"/>
              <w:rPr>
                <w:i/>
              </w:rPr>
            </w:pPr>
            <w:r>
              <w:rPr>
                <w:i/>
              </w:rPr>
              <w:t xml:space="preserve">SoH sub curba garantată cu </w:t>
            </w:r>
            <w:r>
              <w:rPr>
                <w:b/>
                <w:bCs/>
                <w:i/>
              </w:rPr>
              <w:t>peste 2 pp</w:t>
            </w:r>
          </w:p>
        </w:tc>
        <w:tc>
          <w:tcPr>
            <w:tcW w:w="7317" w:type="dxa"/>
            <w:tcBorders/>
          </w:tcPr>
          <w:p>
            <w:pPr>
              <w:pStyle w:val="Compact"/>
              <w:jc w:val="left"/>
              <w:rPr>
                <w:i/>
              </w:rPr>
            </w:pPr>
            <w:r>
              <w:rPr>
                <w:i/>
              </w:rPr>
              <w:t>augmentare în 120 de zile, conform art. 13.3, pe cheltuiala Furnizorului</w:t>
            </w:r>
          </w:p>
        </w:tc>
      </w:tr>
      <w:tr>
        <w:trPr/>
        <w:tc>
          <w:tcPr>
            <w:tcW w:w="1995" w:type="dxa"/>
            <w:tcBorders/>
          </w:tcPr>
          <w:p>
            <w:pPr>
              <w:pStyle w:val="Compact"/>
              <w:jc w:val="left"/>
              <w:rPr>
                <w:i/>
              </w:rPr>
            </w:pPr>
            <w:r>
              <w:rPr>
                <w:b/>
                <w:bCs/>
                <w:i/>
              </w:rPr>
              <w:t>Randament</w:t>
            </w:r>
            <w:r>
              <w:rPr>
                <w:i/>
              </w:rPr>
              <w:t xml:space="preserve"> sub valoarea garantată aplicabilă anului</w:t>
            </w:r>
          </w:p>
        </w:tc>
        <w:tc>
          <w:tcPr>
            <w:tcW w:w="7317" w:type="dxa"/>
            <w:tcBorders/>
          </w:tcPr>
          <w:p>
            <w:pPr>
              <w:pStyle w:val="Compact"/>
              <w:jc w:val="left"/>
              <w:rPr>
                <w:i/>
              </w:rPr>
            </w:pPr>
            <w:r>
              <w:rPr>
                <w:b/>
                <w:bCs/>
                <w:i/>
              </w:rPr>
              <w:t>despăgubire anuală</w:t>
            </w:r>
            <w:r>
              <w:rPr>
                <w:i/>
              </w:rPr>
              <w:t xml:space="preserve"> = (valoarea garantată − randament măsurat, în puncte procentuale) × energia totală absorbită în anul încheiat × prețul mediu anual de referință al energiei electrice pe piața pentru ziua următoare, publicat de operatorul pieței de energie</w:t>
            </w:r>
          </w:p>
        </w:tc>
      </w:tr>
      <w:tr>
        <w:trPr/>
        <w:tc>
          <w:tcPr>
            <w:tcW w:w="1995" w:type="dxa"/>
            <w:tcBorders/>
          </w:tcPr>
          <w:p>
            <w:pPr>
              <w:pStyle w:val="Compact"/>
              <w:jc w:val="left"/>
              <w:rPr>
                <w:i/>
              </w:rPr>
            </w:pPr>
            <w:r>
              <w:rPr>
                <w:b/>
                <w:bCs/>
                <w:i/>
              </w:rPr>
              <w:t>Disponibilitate</w:t>
            </w:r>
            <w:r>
              <w:rPr>
                <w:i/>
              </w:rPr>
              <w:t xml:space="preserve"> sub V7 sau indisponibilitate planificată peste V8</w:t>
            </w:r>
          </w:p>
        </w:tc>
        <w:tc>
          <w:tcPr>
            <w:tcW w:w="7317" w:type="dxa"/>
            <w:tcBorders/>
          </w:tcPr>
          <w:p>
            <w:pPr>
              <w:pStyle w:val="Compact"/>
              <w:jc w:val="left"/>
              <w:rPr>
                <w:i/>
              </w:rPr>
            </w:pPr>
            <w:r>
              <w:rPr>
                <w:b/>
                <w:bCs/>
                <w:i/>
              </w:rPr>
              <w:t>despăgubire anuală</w:t>
            </w:r>
            <w:r>
              <w:rPr>
                <w:i/>
              </w:rPr>
              <w:t xml:space="preserve"> = orele de indisponibilitate peste plafon × puterea nominală × marja unitară declarată la art. 9.6¹ lit. (a)</w:t>
            </w:r>
          </w:p>
        </w:tc>
      </w:tr>
    </w:tbl>
    <w:p>
      <w:pPr>
        <w:pStyle w:val="BodyText"/>
        <w:rPr/>
      </w:pPr>
      <w:r>
        <w:rPr/>
        <w:t>Despăgubirile se rețin prin compensare conform art. 6.6, din tranșele de la pozițiile 3 și 4 din §3.6 sau, după epuizarea acestora, prin executarea garanției de bună execuție ori a instrumentului care a înlocuit reținerea.</w:t>
      </w:r>
    </w:p>
    <w:p>
      <w:pPr>
        <w:pStyle w:val="BodyText"/>
        <w:rPr/>
      </w:pPr>
      <w:r>
        <w:rPr>
          <w:b/>
          <w:bCs/>
        </w:rPr>
        <w:t>13.3². Regula de prezumție.</w:t>
      </w:r>
      <w:r>
        <w:rPr/>
        <w:t xml:space="preserve"> Dacă verificarea anuală </w:t>
      </w:r>
      <w:r>
        <w:rPr>
          <w:b/>
          <w:bCs/>
        </w:rPr>
        <w:t>nu se poate efectua din cauze imputabile Furnizorului</w:t>
      </w:r>
      <w:r>
        <w:rPr/>
        <w:t xml:space="preserve"> — inclusiv neprezentarea, refuzul de a pune la dispoziție instrumentarul sau datele, alterarea ori indisponibilitatea jurnalelor EMS prevăzute la art. 13.8, sau neagrearea protocolului în termenul de la art. 9.5¹ — </w:t>
      </w:r>
      <w:r>
        <w:rPr>
          <w:b/>
          <w:bCs/>
        </w:rPr>
        <w:t>neîndeplinirea valorii garantate se prezumă</w:t>
      </w:r>
      <w:r>
        <w:rPr/>
        <w:t xml:space="preserve">, iar consecințele de mai sus se aplică la nivelul abaterii maxime constatabile din datele disponibile ori, în lipsa acestora, la nivelul de </w:t>
      </w:r>
      <w:r>
        <w:rPr>
          <w:b/>
          <w:bCs/>
        </w:rPr>
        <w:t>5 puncte procentuale</w:t>
      </w:r>
      <w:r>
        <w:rPr/>
        <w:t xml:space="preserve"> sub valoarea garantată.</w:t>
      </w:r>
    </w:p>
    <w:p>
      <w:pPr>
        <w:pStyle w:val="BodyText"/>
        <w:rPr/>
      </w:pPr>
      <w:r>
        <w:rPr/>
        <w:t>Prezumția poate fi răsturnată de Furnizor exclusiv prin efectuarea verificării, pe cheltuiala sa, în termen de 60 de zile de la notificare.</w:t>
      </w:r>
    </w:p>
    <w:p>
      <w:pPr>
        <w:pStyle w:val="BodyText"/>
        <w:rPr/>
      </w:pPr>
      <w:r>
        <w:rPr>
          <w:b/>
          <w:bCs/>
        </w:rPr>
        <w:t>13.4. Vicii ascunse.</w:t>
      </w:r>
      <w:r>
        <w:rPr/>
        <w:t xml:space="preserve"> Răspunderea pentru viciile ascunse ale structurii de rezistență este de </w:t>
      </w:r>
      <w:r>
        <w:rPr>
          <w:b/>
          <w:bCs/>
        </w:rPr>
        <w:t>10 ani</w:t>
      </w:r>
      <w:r>
        <w:rPr/>
        <w:t xml:space="preserve"> de la recepția lucrărilor, iar pentru viciile structurii de rezistență rezultate din nerespectarea normelor de proiectare și execuție — pe toată durata de existență a construcției, conform art. 29–30 din Legea nr. 10/1995. Pentru bunuri se aplică art. 1707 și următoarele din Codul civil.</w:t>
      </w:r>
    </w:p>
    <w:p>
      <w:pPr>
        <w:pStyle w:val="BodyText"/>
        <w:rPr/>
      </w:pPr>
      <w:r>
        <w:rPr>
          <w:b/>
          <w:bCs/>
        </w:rPr>
        <w:t>13.5. Excluderi de garanție.</w:t>
      </w:r>
      <w:r>
        <w:rPr/>
        <w:t xml:space="preserve"> Garanția nu acoperă defectele rezultate din operare incorectă, modificări neautorizate sau cauze externe. </w:t>
      </w:r>
      <w:r>
        <w:rPr>
          <w:b/>
          <w:bCs/>
        </w:rPr>
        <w:t>Sarcina de a demonstra existența cauzelor de excludere revine Furnizorului.</w:t>
      </w:r>
    </w:p>
    <w:p>
      <w:pPr>
        <w:pStyle w:val="BodyText"/>
        <w:rPr/>
      </w:pPr>
      <w:r>
        <w:rPr>
          <w:b/>
          <w:bCs/>
        </w:rPr>
        <w:t>Nu constituie operare incorectă și nu poate fi invocată ca temei de excludere a garanției</w:t>
      </w:r>
      <w:r>
        <w:rPr/>
        <w:t xml:space="preserve"> exploatarea instalației în interiorul Regimului de Operare de Proiectare, starea R2, definit la §3.0 din Caietul de Sarcini, indiferent de prevederile manualului de operare și mentenanță sau ale oricărui alt document emis de Furnizor ori de producătorii echipamentelor ulterior semnării prezentului Contract.</w:t>
      </w:r>
    </w:p>
    <w:p>
      <w:pPr>
        <w:pStyle w:val="BodyText"/>
        <w:rPr/>
      </w:pPr>
      <w:r>
        <w:rPr>
          <w:b/>
          <w:bCs/>
        </w:rPr>
        <w:t>13.6.</w:t>
      </w:r>
      <w:r>
        <w:rPr/>
        <w:t xml:space="preserve"> Dacă Furnizorul nu începe sau nu finalizează remedierea în termenele prevăzute, Beneficiarul are dreptul, după notificare prealabilă, să efectueze sau să contracteze remedierea pe cheltuiala Furnizorului, cu executarea garanției de bună execuție sau cu reținerea sumelor din tranșele nescadente.</w:t>
      </w:r>
    </w:p>
    <w:p>
      <w:pPr>
        <w:pStyle w:val="BodyText"/>
        <w:rPr/>
      </w:pPr>
      <w:r>
        <w:rPr>
          <w:b/>
          <w:bCs/>
        </w:rPr>
        <w:t>13.7. Garanția directă a producătorului celulei.</w:t>
      </w:r>
      <w:r>
        <w:rPr/>
        <w:t xml:space="preserve"> Furnizorul transferă Beneficiarului toate garanțiile acordate de producători. Suplimentar și distinct, </w:t>
      </w:r>
      <w:r>
        <w:rPr>
          <w:b/>
          <w:bCs/>
        </w:rPr>
        <w:t>producătorul celulelor își asumă direct, față de Beneficiar, garanția de performanță prevăzută la §3.5 din Caietul de Sarcini, printr-un angajament al unei entități din Uniunea Europeană sau din Spațiul Economic European aparținând grupului producătorului</w:t>
      </w:r>
      <w:r>
        <w:rPr/>
        <w:t>, nominalizate în ofertă la Valoarea Garantată V16, supus legii unui stat membru și jurisdicției instanțelor acestuia.</w:t>
      </w:r>
    </w:p>
    <w:p>
      <w:pPr>
        <w:pStyle w:val="BodyText"/>
        <w:rPr/>
      </w:pPr>
      <w:r>
        <w:rPr/>
        <w:t xml:space="preserve">Angajamentul se predă Beneficiarului </w:t>
      </w:r>
      <w:r>
        <w:rPr>
          <w:b/>
          <w:bCs/>
        </w:rPr>
        <w:t>cel târziu la data semnării prezentului Contract și constituie o condiție a semnării</w:t>
      </w:r>
      <w:r>
        <w:rPr/>
        <w:t>; neprezentarea lui dă Beneficiarului dreptul de a aplica §5.5.4 din Caietul de Sarcini. Angajamentul rămâne în vigoare independent de existența, executarea sau încetarea raportului dintre Furnizor și producător. Simpla cesiune a garanției nu îndeplinește această obligație.</w:t>
      </w:r>
    </w:p>
    <w:p>
      <w:pPr>
        <w:pStyle w:val="BodyText"/>
        <w:rPr/>
      </w:pPr>
      <w:r>
        <w:rPr>
          <w:b/>
          <w:bCs/>
        </w:rPr>
        <w:t>13.8. Acces la date și integritatea jurnalelor.</w:t>
      </w:r>
      <w:r>
        <w:rPr/>
        <w:t xml:space="preserve"> Furnizorul asigură Beneficiarului, de la PIF și pe toată durata garanției de performanță:</w:t>
      </w:r>
    </w:p>
    <w:p>
      <w:pPr>
        <w:pStyle w:val="BodyText"/>
        <w:rPr/>
      </w:pPr>
      <w:r>
        <w:rPr>
          <w:b/>
          <w:bCs/>
        </w:rPr>
        <w:t>(a)</w:t>
      </w:r>
      <w:r>
        <w:rPr/>
        <w:t xml:space="preserve"> acces direct de citire la EMS și BMS, inclusiv la datele de stare de sănătate, temperatură și tensiune </w:t>
      </w:r>
      <w:r>
        <w:rPr>
          <w:b/>
          <w:bCs/>
        </w:rPr>
        <w:t>la nivel de modul</w:t>
      </w:r>
      <w:r>
        <w:rPr/>
        <w:t xml:space="preserve">; </w:t>
      </w:r>
      <w:r>
        <w:rPr>
          <w:b/>
          <w:bCs/>
        </w:rPr>
        <w:t>(b)</w:t>
      </w:r>
      <w:r>
        <w:rPr/>
        <w:t xml:space="preserve"> export în format deschis și prelucrabil, la rezoluție de maximum 15 minute; </w:t>
      </w:r>
      <w:r>
        <w:rPr>
          <w:b/>
          <w:bCs/>
        </w:rPr>
        <w:t>(c)</w:t>
      </w:r>
      <w:r>
        <w:rPr/>
        <w:t xml:space="preserve"> păstrarea jurnalelor relevante pentru determinarea SoH, a randamentului, a disponibilității și a ponderii energiei pe sursă, </w:t>
      </w:r>
      <w:r>
        <w:rPr>
          <w:b/>
          <w:bCs/>
        </w:rPr>
        <w:t>în formă nealterabilă, cu marcaj temporal, minimum 10 ani</w:t>
      </w:r>
      <w:r>
        <w:rPr/>
        <w:t xml:space="preserve">; </w:t>
      </w:r>
      <w:r>
        <w:rPr>
          <w:b/>
          <w:bCs/>
        </w:rPr>
        <w:t>(d)</w:t>
      </w:r>
      <w:r>
        <w:rPr/>
        <w:t xml:space="preserve"> imposibilitatea Furnizorului de a altera, șterge, restricționa sau condiționa accesul la aceste date.</w:t>
      </w:r>
    </w:p>
    <w:p>
      <w:pPr>
        <w:pStyle w:val="BodyText"/>
        <w:rPr/>
      </w:pPr>
      <w:r>
        <w:rPr/>
        <w:t>Încălcarea prezentului articol declanșează prezumția de la art. 13.3².</w:t>
      </w:r>
      <w:bookmarkEnd w:id="17"/>
    </w:p>
    <w:p>
      <w:pPr>
        <w:pStyle w:val="Heading3"/>
        <w:rPr/>
      </w:pPr>
      <w:bookmarkStart w:id="18" w:name="art.-14-penalități-și-răspundere"/>
      <w:r>
        <w:rPr/>
        <w:t>Art. 14 — Penalități și răspundere</w:t>
      </w:r>
    </w:p>
    <w:p>
      <w:pPr>
        <w:pStyle w:val="FirstParagraph"/>
        <w:rPr/>
      </w:pPr>
      <w:r>
        <w:rPr>
          <w:b/>
          <w:bCs/>
        </w:rPr>
        <w:t>14.1.</w:t>
      </w:r>
      <w:r>
        <w:rPr/>
        <w:t xml:space="preserve"> Părțile răspund pentru neexecutarea, executarea cu întârziere sau executarea necorespunzătoare a obligațiilor, în condițiile dreptului comun.</w:t>
      </w:r>
    </w:p>
    <w:p>
      <w:pPr>
        <w:pStyle w:val="BodyText"/>
        <w:rPr/>
      </w:pPr>
      <w:r>
        <w:rPr>
          <w:b/>
          <w:bCs/>
        </w:rPr>
        <w:t>14.2. Penalități de întârziere.</w:t>
      </w:r>
      <w:r>
        <w:rPr/>
        <w:t xml:space="preserve"> Pentru întârzieri imputabile Furnizorului peste termenul convenit, Beneficiarul are dreptul la penalități de </w:t>
      </w:r>
      <w:r>
        <w:rPr>
          <w:b/>
          <w:bCs/>
        </w:rPr>
        <w:t>0,15% pe zi din valoarea Contractului</w:t>
      </w:r>
      <w:r>
        <w:rPr/>
        <w:t xml:space="preserve">, fără a depăși </w:t>
      </w:r>
      <w:r>
        <w:rPr>
          <w:b/>
          <w:bCs/>
        </w:rPr>
        <w:t>15% din valoarea Contractului</w:t>
      </w:r>
      <w:r>
        <w:rPr/>
        <w:t>.</w:t>
      </w:r>
    </w:p>
    <w:p>
      <w:pPr>
        <w:pStyle w:val="BodyText"/>
        <w:rPr/>
      </w:pPr>
      <w:r>
        <w:rPr/>
        <w:t xml:space="preserve">Penalitățile se calculează asupra </w:t>
      </w:r>
      <w:r>
        <w:rPr>
          <w:b/>
          <w:bCs/>
        </w:rPr>
        <w:t>duratei controlate de Furnizor</w:t>
      </w:r>
      <w:r>
        <w:rPr/>
        <w:t>, definită la art. 8.1, din care se exclud perioadele de suspendare constatate conform art. 15.1¹.</w:t>
      </w:r>
    </w:p>
    <w:p>
      <w:pPr>
        <w:pStyle w:val="BodyText"/>
        <w:rPr/>
      </w:pPr>
      <w:r>
        <w:rPr>
          <w:b/>
          <w:bCs/>
        </w:rPr>
        <w:t>14.3. Baza de calcul a penalității.</w:t>
      </w:r>
      <w:r>
        <w:rPr/>
        <w:t xml:space="preserve"> Părțile declară că penalitatea de la art. 14.2 a fost stabilită prin raportare la prejudiciul previzibil la data încheierii Contractului, care se compune din:</w:t>
      </w:r>
    </w:p>
    <w:p>
      <w:pPr>
        <w:pStyle w:val="BodyText"/>
        <w:rPr/>
      </w:pPr>
      <w:r>
        <w:rPr>
          <w:b/>
          <w:bCs/>
        </w:rPr>
        <w:t>(a)</w:t>
      </w:r>
      <w:r>
        <w:rPr/>
        <w:t xml:space="preserve"> </w:t>
      </w:r>
      <w:r>
        <w:rPr>
          <w:b/>
          <w:bCs/>
        </w:rPr>
        <w:t>expunerea Beneficiarului la pierderea ajutorului de stat.</w:t>
      </w:r>
      <w:r>
        <w:rPr/>
        <w:t xml:space="preserve"> Potrivit Ghidului solicitantului „Sprijinirea investițiilor în dezvoltarea capacităților de stocare a energiei electrice (baterii) cu finanțare din Fondul pentru modernizare” și modelului de contract de finanțare anexat acestuia, investiția se finalizează, inclusiv prin punerea în funcțiune, în cel mult 24 de luni de la semnarea contractului de finanțare și nu mai târziu de 31.12.2029. Cheltuielile efectuate după acest termen nu sunt eligibile, iar întârzierile pot atrage rezilierea contractului de finanțare, cu recuperarea integrală sau proporțională a sumelor plătite. Ajutorul expus este de </w:t>
      </w:r>
      <w:r>
        <w:rPr>
          <w:b/>
          <w:bCs/>
        </w:rPr>
        <w:t>2.388.672 lei</w:t>
      </w:r>
      <w:r>
        <w:rPr/>
        <w:t xml:space="preserve"> (480.000 euro, la cursul InforEuro stabilit în Ghidul solicitantului). Fiecare zi de întârziere consumă din marja disponibilă până la acest termen și crește probabilitatea materializării pierderii;</w:t>
      </w:r>
    </w:p>
    <w:p>
      <w:pPr>
        <w:pStyle w:val="BodyText"/>
        <w:rPr/>
      </w:pPr>
      <w:r>
        <w:rPr>
          <w:b/>
          <w:bCs/>
        </w:rPr>
        <w:t>(b)</w:t>
      </w:r>
      <w:r>
        <w:rPr/>
        <w:t xml:space="preserve"> </w:t>
      </w:r>
      <w:r>
        <w:rPr>
          <w:b/>
          <w:bCs/>
        </w:rPr>
        <w:t>costurile financiare ale creditului-punte</w:t>
      </w:r>
      <w:r>
        <w:rPr/>
        <w:t xml:space="preserve"> aferente perioadei de prelungire, care curg indiferent de stadiul Lucrărilor;</w:t>
      </w:r>
    </w:p>
    <w:p>
      <w:pPr>
        <w:pStyle w:val="BodyText"/>
        <w:rPr/>
      </w:pPr>
      <w:r>
        <w:rPr>
          <w:b/>
          <w:bCs/>
        </w:rPr>
        <w:t>(b¹)</w:t>
      </w:r>
      <w:r>
        <w:rPr/>
        <w:t xml:space="preserve"> </w:t>
      </w:r>
      <w:r>
        <w:rPr>
          <w:b/>
          <w:bCs/>
        </w:rPr>
        <w:t>costul garanției financiare impuse de contractul de racordare</w:t>
      </w:r>
      <w:r>
        <w:rPr/>
        <w:t xml:space="preserve"> pentru prelungirea duratei acestuia. Contractul de racordare are o durată de 12 luni de la semnare, prelungibilă cu durate succesive de 12 luni la cererea utilizatorului, condiționat de constituirea garanției financiare prevăzute la pct. 10 lit. e1 din acesta. Întârzierea în punerea sub tensiune finală a instalației de utilizare, care este evenimentul de finalizare potrivit pct. 13.3 din contractul de racordare, declanșează această obligație în sarcina Achizitorului;</w:t>
      </w:r>
    </w:p>
    <w:p>
      <w:pPr>
        <w:pStyle w:val="BodyText"/>
        <w:rPr/>
      </w:pPr>
      <w:r>
        <w:rPr>
          <w:b/>
          <w:bCs/>
        </w:rPr>
        <w:t>(c)</w:t>
      </w:r>
      <w:r>
        <w:rPr/>
        <w:t xml:space="preserve"> </w:t>
      </w:r>
      <w:r>
        <w:rPr>
          <w:b/>
          <w:bCs/>
        </w:rPr>
        <w:t>veniturile nerealizate din exploatarea instalației de stocare</w:t>
      </w:r>
      <w:r>
        <w:rPr/>
        <w:t xml:space="preserve"> pe durata întârzierii;</w:t>
      </w:r>
    </w:p>
    <w:p>
      <w:pPr>
        <w:pStyle w:val="BodyText"/>
        <w:rPr/>
      </w:pPr>
      <w:r>
        <w:rPr>
          <w:b/>
          <w:bCs/>
        </w:rPr>
        <w:t>(d)</w:t>
      </w:r>
      <w:r>
        <w:rPr/>
        <w:t xml:space="preserve"> </w:t>
      </w:r>
      <w:r>
        <w:rPr>
          <w:b/>
          <w:bCs/>
        </w:rPr>
        <w:t>costurile de administrare a proiectului</w:t>
      </w:r>
      <w:r>
        <w:rPr/>
        <w:t>, de asigurare, de pază și de conservare a amplasamentului, prelungite corespunzător.</w:t>
      </w:r>
    </w:p>
    <w:p>
      <w:pPr>
        <w:pStyle w:val="BodyText"/>
        <w:rPr/>
      </w:pPr>
      <w:r>
        <w:rPr/>
        <w:t xml:space="preserve">Prin raportare la lit. (a), plafonul de 15% prevăzut la art. 14.2, respectiv </w:t>
      </w:r>
      <w:r>
        <w:rPr>
          <w:b/>
          <w:bCs/>
        </w:rPr>
        <w:t>804.741 lei</w:t>
      </w:r>
      <w:r>
        <w:rPr/>
        <w:t>, reprezintă aproximativ o treime din ajutorul de stat expus. Părțile constată că penalitatea nu este vădit excesivă față de prejudiciul astfel previzibil.</w:t>
      </w:r>
    </w:p>
    <w:p>
      <w:pPr>
        <w:pStyle w:val="BodyText"/>
        <w:rPr/>
      </w:pPr>
      <w:r>
        <w:rPr>
          <w:b/>
          <w:bCs/>
        </w:rPr>
        <w:t>14.4.</w:t>
      </w:r>
      <w:r>
        <w:rPr/>
        <w:t xml:space="preserve"> Penalitățile nu constituie remediu exclusiv. Beneficiarul păstrează dreptul de a solicita repararea prejudiciului efectiv suferit, în măsura în care acesta depășește cuantumul penalităților și este dovedit potrivit legii.</w:t>
      </w:r>
    </w:p>
    <w:p>
      <w:pPr>
        <w:pStyle w:val="BodyText"/>
        <w:rPr/>
      </w:pPr>
      <w:r>
        <w:rPr>
          <w:b/>
          <w:bCs/>
        </w:rPr>
        <w:t>14.5.</w:t>
      </w:r>
      <w:r>
        <w:rPr/>
        <w:t xml:space="preserve"> Penalitățile, reducerile de preț de la art. 9.6 și despăgubirile anuale de la art. 13.3¹ se rețin prin compensare, conform art. 6.6, sau prin executarea garanției de bună execuție ori a instrumentului care a înlocuit reținerea de bună execuție conform art. 6.4¹.</w:t>
      </w:r>
    </w:p>
    <w:p>
      <w:pPr>
        <w:pStyle w:val="BodyText"/>
        <w:rPr/>
      </w:pPr>
      <w:r>
        <w:rPr>
          <w:b/>
          <w:bCs/>
        </w:rPr>
        <w:t>14.6. Inadmisibilitatea plafonării.</w:t>
      </w:r>
      <w:r>
        <w:rPr/>
        <w:t xml:space="preserve"> Răspunderea Furnizorului nu este plafonată, cu excepția plafoanelor prevăzute expres în prezentul Contract. </w:t>
      </w:r>
      <w:r>
        <w:rPr>
          <w:b/>
          <w:bCs/>
        </w:rPr>
        <w:t>Orice clauză de limitare a răspunderii, de excludere a daunelor indirecte sau de plafonare globală propusă de Furnizor este inadmisibilă și lipsită de efect</w:t>
      </w:r>
      <w:r>
        <w:rPr/>
        <w:t>, fiind incompatibilă cu documentația de atribuire. Nicio prevedere a Contractului nu limitează răspunderea vreunei Părți pentru dol sau culpă gravă, în condițiile art. 1355 din Codul civil.</w:t>
      </w:r>
    </w:p>
    <w:p>
      <w:pPr>
        <w:pStyle w:val="BodyText"/>
        <w:rPr/>
      </w:pPr>
      <w:r>
        <w:rPr/>
        <w:t xml:space="preserve">Plafonul de 15% de la art. 14.2 privește </w:t>
      </w:r>
      <w:r>
        <w:rPr>
          <w:b/>
          <w:bCs/>
        </w:rPr>
        <w:t>exclusiv</w:t>
      </w:r>
      <w:r>
        <w:rPr/>
        <w:t xml:space="preserve"> penalitățile de întârziere. El </w:t>
      </w:r>
      <w:r>
        <w:rPr>
          <w:b/>
          <w:bCs/>
        </w:rPr>
        <w:t>nu se aplică</w:t>
      </w:r>
      <w:r>
        <w:rPr/>
        <w:t xml:space="preserve"> reducerilor de preț de la art. 9.6, despăgubirilor anuale de la art. 13.3¹, obligației de augmentare de la art. 13.3, penalității de la art. 22.2 și obligației de suportare a corecțiilor financiare de la art. 23.2.</w:t>
      </w:r>
      <w:bookmarkEnd w:id="18"/>
    </w:p>
    <w:p>
      <w:pPr>
        <w:pStyle w:val="Heading3"/>
        <w:rPr/>
      </w:pPr>
      <w:bookmarkStart w:id="19" w:name="art.-15-riscuri-și-forța-majoră"/>
      <w:r>
        <w:rPr/>
        <w:t>Art. 15 — Riscuri și forța majoră</w:t>
      </w:r>
    </w:p>
    <w:p>
      <w:pPr>
        <w:pStyle w:val="FirstParagraph"/>
        <w:rPr/>
      </w:pPr>
      <w:r>
        <w:rPr>
          <w:b/>
          <w:bCs/>
        </w:rPr>
        <w:t>15.1.</w:t>
      </w:r>
      <w:r>
        <w:rPr/>
        <w:t xml:space="preserve"> Până la Recepția la Terminarea Lucrărilor, Furnizorul suportă toate riscurile privind Lucrările, echipamentele și materialele, indiferent de transferul proprietății conform art. 12.5.</w:t>
      </w:r>
    </w:p>
    <w:p>
      <w:pPr>
        <w:pStyle w:val="BodyText"/>
        <w:rPr/>
      </w:pPr>
      <w:r>
        <w:rPr>
          <w:b/>
          <w:bCs/>
        </w:rPr>
        <w:t>15.1¹. Condiții externe de autorizare.</w:t>
      </w:r>
      <w:r>
        <w:rPr/>
        <w:t xml:space="preserve"> Perioada de întârziere în emiterea autorizației de construire peste durata segmentului S2, perioada de depășire a segmentului S3b din motive imputabile Operatorului de Distribuție, perioada de întârziere în obținerea </w:t>
      </w:r>
      <w:r>
        <w:rPr>
          <w:b/>
          <w:bCs/>
        </w:rPr>
        <w:t>autorizației de înființare</w:t>
      </w:r>
      <w:r>
        <w:rPr/>
        <w:t xml:space="preserve"> prevăzute de Legea nr. 123/2012, precum și perioada necesară obținerii unui </w:t>
      </w:r>
      <w:r>
        <w:rPr>
          <w:b/>
          <w:bCs/>
        </w:rPr>
        <w:t>certificat de urbanism nou</w:t>
      </w:r>
      <w:r>
        <w:rPr/>
        <w:t xml:space="preserve">, în cazul în care cel existent își pierde valabilitatea din motive neimputabile Furnizorului, </w:t>
      </w:r>
      <w:r>
        <w:rPr>
          <w:b/>
          <w:bCs/>
        </w:rPr>
        <w:t>suspendă curgerea termenului contractual</w:t>
      </w:r>
      <w:r>
        <w:rPr/>
        <w:t xml:space="preserve"> și a penalităților aferente.</w:t>
      </w:r>
    </w:p>
    <w:p>
      <w:pPr>
        <w:pStyle w:val="BodyText"/>
        <w:rPr/>
      </w:pPr>
      <w:r>
        <w:rPr/>
        <w:t xml:space="preserve">Suspendarea operează de drept, se constată prin proces-verbal semnat de Părți și </w:t>
      </w:r>
      <w:r>
        <w:rPr>
          <w:b/>
          <w:bCs/>
        </w:rPr>
        <w:t>nu constituie prelungire în sensul art. 17.5</w:t>
      </w:r>
      <w:r>
        <w:rPr/>
        <w:t>. Pe durata suspendării, Furnizorul conservă Lucrările și continuă activitățile care nu depind de autorizațiile respective, iar termenul de vechime a celulelor de la art. 12.1 se suspendă corespunzător.</w:t>
      </w:r>
    </w:p>
    <w:p>
      <w:pPr>
        <w:pStyle w:val="BodyText"/>
        <w:rPr/>
      </w:pPr>
      <w:r>
        <w:rPr>
          <w:b/>
          <w:bCs/>
        </w:rPr>
        <w:t>15.1². Cauze neimputabile de aprovizionare și de transport.</w:t>
      </w:r>
      <w:r>
        <w:rPr/>
        <w:t xml:space="preserve"> Prin excepție de la art. 15.4 și fără a constitui forță majoră, curgerea termenelor contractuale se suspendă, iar penalitățile de întârziere nu se aplică, pe durata dovedită a oricăreia dintre următoarele împrejurări, </w:t>
      </w:r>
      <w:r>
        <w:rPr>
          <w:b/>
          <w:bCs/>
        </w:rPr>
        <w:t>cu condiția ca acestea să afecteze direct drumul critic al Contractului</w:t>
      </w:r>
      <w:r>
        <w:rPr/>
        <w:t>:</w:t>
      </w:r>
    </w:p>
    <w:p>
      <w:pPr>
        <w:pStyle w:val="BodyText"/>
        <w:rPr/>
      </w:pPr>
      <w:r>
        <w:rPr>
          <w:b/>
          <w:bCs/>
        </w:rPr>
        <w:t>(a)</w:t>
      </w:r>
      <w:r>
        <w:rPr/>
        <w:t xml:space="preserve"> indisponibilitatea temporară a celulelor sau a componentelor critice la nivelul producătorului, atestată prin comunicare scrisă a producătorului, cu indicarea cauzei și a duratei estimate;</w:t>
      </w:r>
    </w:p>
    <w:p>
      <w:pPr>
        <w:pStyle w:val="BodyText"/>
        <w:rPr/>
      </w:pPr>
      <w:r>
        <w:rPr>
          <w:b/>
          <w:bCs/>
        </w:rPr>
        <w:t>(b)</w:t>
      </w:r>
      <w:r>
        <w:rPr/>
        <w:t xml:space="preserve"> întreruperea sau restricționarea rutelor de transport maritim ori terestru, atestată prin comunicare a transportatorului sau prin act al unei autorități competente;</w:t>
      </w:r>
    </w:p>
    <w:p>
      <w:pPr>
        <w:pStyle w:val="BodyText"/>
        <w:rPr/>
      </w:pPr>
      <w:r>
        <w:rPr>
          <w:b/>
          <w:bCs/>
        </w:rPr>
        <w:t>(c)</w:t>
      </w:r>
      <w:r>
        <w:rPr/>
        <w:t xml:space="preserve"> instituirea de restricții la export, import sau tranzit ori de măsuri vamale cu efect suspensiv, atestate prin act normativ sau prin decizie a autorității competente;</w:t>
      </w:r>
    </w:p>
    <w:p>
      <w:pPr>
        <w:pStyle w:val="BodyText"/>
        <w:rPr/>
      </w:pPr>
      <w:r>
        <w:rPr>
          <w:b/>
          <w:bCs/>
        </w:rPr>
        <w:t>(d)</w:t>
      </w:r>
      <w:r>
        <w:rPr/>
        <w:t xml:space="preserve"> blocarea în vamă din cauze neimputabile Furnizorului, atestată prin documente vamale.</w:t>
      </w:r>
    </w:p>
    <w:p>
      <w:pPr>
        <w:pStyle w:val="BodyText"/>
        <w:rPr/>
      </w:pPr>
      <w:r>
        <w:rPr>
          <w:b/>
          <w:bCs/>
        </w:rPr>
        <w:t>Notificarea.</w:t>
      </w:r>
      <w:r>
        <w:rPr/>
        <w:t xml:space="preserve"> Furnizorul notifică Beneficiarul în maximum </w:t>
      </w:r>
      <w:r>
        <w:rPr>
          <w:b/>
          <w:bCs/>
        </w:rPr>
        <w:t>5 zile lucrătoare</w:t>
      </w:r>
      <w:r>
        <w:rPr/>
        <w:t xml:space="preserve"> de la data la care a luat cunoștință de împrejurare, cu documentele justificative, și comunică lunar stadiul și durata estimată rămasă. </w:t>
      </w:r>
      <w:r>
        <w:rPr>
          <w:b/>
          <w:bCs/>
        </w:rPr>
        <w:t>Suspendarea operează de la data notificării, nu retroactiv</w:t>
      </w:r>
      <w:r>
        <w:rPr/>
        <w:t>, și numai pentru durata efectiv dovedită.</w:t>
      </w:r>
    </w:p>
    <w:p>
      <w:pPr>
        <w:pStyle w:val="BodyText"/>
        <w:rPr/>
      </w:pPr>
      <w:r>
        <w:rPr>
          <w:b/>
          <w:bCs/>
        </w:rPr>
        <w:t>Obligația de diligență.</w:t>
      </w:r>
      <w:r>
        <w:rPr/>
        <w:t xml:space="preserve"> Suspendarea nu exonerează Furnizorul de obligația de a căuta soluții alternative de aprovizionare sau de transport. Furnizorul probează demersurile efectuate; în lipsa probei, suspendarea nu operează.</w:t>
      </w:r>
    </w:p>
    <w:p>
      <w:pPr>
        <w:pStyle w:val="BodyText"/>
        <w:rPr/>
      </w:pPr>
      <w:r>
        <w:rPr>
          <w:b/>
          <w:bCs/>
        </w:rPr>
        <w:t>Limite.</w:t>
      </w:r>
      <w:r>
        <w:rPr/>
        <w:t xml:space="preserve"> Suspendarea nu dă drept la majorarea prețului Contractului și nu afectează Valorile Garantate. Perioadele de suspendare cumulate care depășesc </w:t>
      </w:r>
      <w:r>
        <w:rPr>
          <w:b/>
          <w:bCs/>
        </w:rPr>
        <w:t>90 de zile calendaristice</w:t>
      </w:r>
      <w:r>
        <w:rPr/>
        <w:t xml:space="preserve"> dau Beneficiarului dreptul de a rezilia Contractul, </w:t>
      </w:r>
      <w:r>
        <w:rPr>
          <w:b/>
          <w:bCs/>
        </w:rPr>
        <w:t>fără penalități pentru niciuna dintre Părți și fără executarea garanției de bună execuție</w:t>
      </w:r>
      <w:r>
        <w:rPr/>
        <w:t>, care se eliberează. Beneficiarul plătește numai Lucrările executate și echipamentele livrate pe amplasament, în măsura în care nu au fost deja plătite.</w:t>
      </w:r>
    </w:p>
    <w:p>
      <w:pPr>
        <w:pStyle w:val="BodyText"/>
        <w:rPr/>
      </w:pPr>
      <w:r>
        <w:rPr>
          <w:b/>
          <w:bCs/>
        </w:rPr>
        <w:t>15.2.</w:t>
      </w:r>
      <w:r>
        <w:rPr/>
        <w:t xml:space="preserve"> Forța majoră exonerează Părțile de răspundere, în condițiile Codului civil. Partea care o invocă notifică în maximum </w:t>
      </w:r>
      <w:r>
        <w:rPr>
          <w:b/>
          <w:bCs/>
        </w:rPr>
        <w:t>5 zile lucrătoare</w:t>
      </w:r>
      <w:r>
        <w:rPr/>
        <w:t xml:space="preserve"> de la apariția evenimentului și prezintă documente justificative emise de autoritatea competentă în maximum </w:t>
      </w:r>
      <w:r>
        <w:rPr>
          <w:b/>
          <w:bCs/>
        </w:rPr>
        <w:t>15 zile lucrătoare</w:t>
      </w:r>
      <w:r>
        <w:rPr/>
        <w:t xml:space="preserve">. </w:t>
      </w:r>
      <w:r>
        <w:rPr>
          <w:b/>
          <w:bCs/>
        </w:rPr>
        <w:t>Forța majoră produce efecte de la data notificării, nu retroactiv</w:t>
      </w:r>
      <w:r>
        <w:rPr/>
        <w:t>, iar Partea care notifică tardiv răspunde pentru prejudiciul cauzat de întârziere.</w:t>
      </w:r>
    </w:p>
    <w:p>
      <w:pPr>
        <w:pStyle w:val="BodyText"/>
        <w:rPr/>
      </w:pPr>
      <w:r>
        <w:rPr>
          <w:b/>
          <w:bCs/>
        </w:rPr>
        <w:t>15.3.</w:t>
      </w:r>
      <w:r>
        <w:rPr/>
        <w:t xml:space="preserve"> Dacă forța majoră durează mai mult de 60 de zile, oricare Parte poate solicita rezilierea, fără despăgubiri.</w:t>
      </w:r>
    </w:p>
    <w:p>
      <w:pPr>
        <w:pStyle w:val="BodyText"/>
        <w:rPr/>
      </w:pPr>
      <w:r>
        <w:rPr>
          <w:b/>
          <w:bCs/>
        </w:rPr>
        <w:t>15.4.</w:t>
      </w:r>
      <w:r>
        <w:rPr/>
        <w:t xml:space="preserve"> </w:t>
      </w:r>
      <w:r>
        <w:rPr>
          <w:b/>
          <w:bCs/>
        </w:rPr>
        <w:t>Nu constituie forță majoră</w:t>
      </w:r>
      <w:r>
        <w:rPr/>
        <w:t xml:space="preserve">, sub rezerva efectului suspensiv prevăzut la art. 15.1²: indisponibilitatea sau creșterea prețului echipamentelor ori al materiilor prime; variațiile cursului valutar, care sunt integral în sarcina Furnizorului conform art. 5.1 și art. 5.6; congestia porturilor și întârzierile de transport maritim; indisponibilitatea, insolvența sau neexecutarea din partea subcontractanților și subfurnizorilor; modificarea taxelor vamale sau a regimului de import; lipsa de personal a Furnizorului; condițiile meteorologice previzibile pentru sezonul și zona respectivă; </w:t>
      </w:r>
      <w:r>
        <w:rPr>
          <w:b/>
          <w:bCs/>
        </w:rPr>
        <w:t>modificarea specificațiilor sau încetarea fabricației unui produs ofertat</w:t>
      </w:r>
      <w:r>
        <w:rPr/>
        <w:t>, care face obiectul exclusiv al art. 17.4.</w:t>
      </w:r>
      <w:bookmarkEnd w:id="16"/>
      <w:bookmarkEnd w:id="19"/>
    </w:p>
    <w:p>
      <w:pPr>
        <w:pStyle w:val="Heading2"/>
        <w:rPr/>
      </w:pPr>
      <w:bookmarkStart w:id="20" w:name="X290a01072d5f92bea0cfb67ce9dcf1025d4e4af"/>
      <w:r>
        <w:rPr/>
        <w:t>CAPITOLUL V — MODIFICAREA, SUSPENDAREA ȘI ÎNCETAREA</w:t>
      </w:r>
    </w:p>
    <w:p>
      <w:pPr>
        <w:pStyle w:val="Heading3"/>
        <w:rPr/>
      </w:pPr>
      <w:bookmarkStart w:id="21" w:name="art.-16-suspendarea"/>
      <w:r>
        <w:rPr/>
        <w:t>Art. 16 — Suspendarea</w:t>
      </w:r>
    </w:p>
    <w:p>
      <w:pPr>
        <w:pStyle w:val="FirstParagraph"/>
        <w:rPr/>
      </w:pPr>
      <w:r>
        <w:rPr>
          <w:b/>
          <w:bCs/>
        </w:rPr>
        <w:t>16.1.</w:t>
      </w:r>
      <w:r>
        <w:rPr/>
        <w:t xml:space="preserve"> Beneficiarul poate suspenda executarea, în tot sau în parte, prin notificare scrisă cu 10 zile lucrătoare în prealabil. Pe durata suspendării, Furnizorul conservă Lucrările și echipamentele pe cheltuiala Beneficiarului, la costuri justificate și documentate.</w:t>
      </w:r>
    </w:p>
    <w:p>
      <w:pPr>
        <w:pStyle w:val="BodyText"/>
        <w:rPr/>
      </w:pPr>
      <w:r>
        <w:rPr>
          <w:b/>
          <w:bCs/>
        </w:rPr>
        <w:t>16.2.</w:t>
      </w:r>
      <w:r>
        <w:rPr/>
        <w:t xml:space="preserve"> Suspendarea determinată de neexecutarea culpabilă a Furnizorului nu dă drept la costuri sau la prelungirea termenului.</w:t>
      </w:r>
      <w:bookmarkEnd w:id="21"/>
    </w:p>
    <w:p>
      <w:pPr>
        <w:pStyle w:val="Heading3"/>
        <w:rPr/>
      </w:pPr>
      <w:bookmarkStart w:id="22" w:name="art.-17-modificarea-contractului"/>
      <w:r>
        <w:rPr/>
        <w:t>Art. 17 — Modificarea Contractului</w:t>
      </w:r>
    </w:p>
    <w:p>
      <w:pPr>
        <w:pStyle w:val="FirstParagraph"/>
        <w:rPr/>
      </w:pPr>
      <w:r>
        <w:rPr>
          <w:b/>
          <w:bCs/>
        </w:rPr>
        <w:t>17.1.</w:t>
      </w:r>
      <w:r>
        <w:rPr/>
        <w:t xml:space="preserve"> Modificarea se face exclusiv prin acte adiționale semnate de reprezentanții legali ai ambelor Părți, întocmite </w:t>
      </w:r>
      <w:r>
        <w:rPr>
          <w:b/>
          <w:bCs/>
        </w:rPr>
        <w:t>în condițiile prevăzute de prezentele clauze contractuale</w:t>
      </w:r>
      <w:r>
        <w:rPr/>
        <w:t>. Scopul actului adițional trebuie să fie strâns legat de obiectul Contractului inițial.</w:t>
      </w:r>
    </w:p>
    <w:p>
      <w:pPr>
        <w:pStyle w:val="BodyText"/>
        <w:rPr/>
      </w:pPr>
      <w:r>
        <w:rPr>
          <w:b/>
          <w:bCs/>
        </w:rPr>
        <w:t>17.2.</w:t>
      </w:r>
      <w:r>
        <w:rPr/>
        <w:t xml:space="preserve"> </w:t>
      </w:r>
      <w:r>
        <w:rPr>
          <w:b/>
          <w:bCs/>
        </w:rPr>
        <w:t>Nu se pot modifica prin Contract sau prin act adițional Caietul de Sarcini și oferta declarată câștigătoare</w:t>
      </w:r>
      <w:r>
        <w:rPr/>
        <w:t>, care au stat la baza atribuirii.</w:t>
      </w:r>
    </w:p>
    <w:p>
      <w:pPr>
        <w:pStyle w:val="BodyText"/>
        <w:rPr/>
      </w:pPr>
      <w:r>
        <w:rPr>
          <w:b/>
          <w:bCs/>
        </w:rPr>
        <w:t>17.3. Prețul.</w:t>
      </w:r>
      <w:r>
        <w:rPr/>
        <w:t xml:space="preserve"> </w:t>
      </w:r>
      <w:r>
        <w:rPr>
          <w:b/>
          <w:bCs/>
        </w:rPr>
        <w:t>Nu se admite nicio modificare care prevede suplimentarea prețului Contractului.</w:t>
      </w:r>
    </w:p>
    <w:p>
      <w:pPr>
        <w:pStyle w:val="BodyText"/>
        <w:rPr/>
      </w:pPr>
      <w:r>
        <w:rPr/>
        <w:t>Părțile iau act că orice suplimentare de preț ar fi suportată integral de Beneficiar din surse proprii, conform pct. 6.1 alin. (21) din Îndrumar, motiv pentru care Beneficiarul o exclude din start.</w:t>
      </w:r>
    </w:p>
    <w:p>
      <w:pPr>
        <w:pStyle w:val="BodyText"/>
        <w:rPr/>
      </w:pPr>
      <w:r>
        <w:rPr>
          <w:b/>
          <w:bCs/>
        </w:rPr>
        <w:t>17.4. Substituirea produselor.</w:t>
      </w:r>
      <w:r>
        <w:rPr/>
        <w:t xml:space="preserve"> Produsele care fac obiectul Contractului se pot modifica </w:t>
      </w:r>
      <w:r>
        <w:rPr>
          <w:b/>
          <w:bCs/>
        </w:rPr>
        <w:t>numai în situații cu totul excepționale</w:t>
      </w:r>
      <w:r>
        <w:rPr/>
        <w:t xml:space="preserve">, dacă produsul ofertat nu se mai comercializează în mod curent pe piață — cu prezentarea de către Furnizor a unei dovezi în acest sens, emisă de producător — și numai dacă se înlocuiește cu un produs cu </w:t>
      </w:r>
      <w:r>
        <w:rPr>
          <w:b/>
          <w:bCs/>
        </w:rPr>
        <w:t>caracteristici egale sau superioare din punct de vedere tehnic</w:t>
      </w:r>
      <w:r>
        <w:rPr/>
        <w:t xml:space="preserve">, care nu ridică probleme de compatibilitate, </w:t>
      </w:r>
      <w:r>
        <w:rPr>
          <w:b/>
          <w:bCs/>
        </w:rPr>
        <w:t>fără modificarea prețului</w:t>
      </w:r>
      <w:r>
        <w:rPr/>
        <w:t xml:space="preserve"> și fără afectarea Valorilor Garantate. Beneficiarul poate solicita, pe cheltuiala Furnizorului, verificarea echivalenței de către un expert independent.</w:t>
      </w:r>
    </w:p>
    <w:p>
      <w:pPr>
        <w:pStyle w:val="BodyText"/>
        <w:rPr/>
      </w:pPr>
      <w:r>
        <w:rPr/>
        <w:t xml:space="preserve">Substituirea celulelor de baterie, a unității de conversie, a sistemului EMS și a transformatorului de forță este supusă suplimentar condițiilor de la </w:t>
      </w:r>
      <w:r>
        <w:rPr>
          <w:b/>
          <w:bCs/>
        </w:rPr>
        <w:t>art. 12.8</w:t>
      </w:r>
      <w:r>
        <w:rPr/>
        <w:t>.</w:t>
      </w:r>
    </w:p>
    <w:p>
      <w:pPr>
        <w:pStyle w:val="BodyText"/>
        <w:rPr/>
      </w:pPr>
      <w:r>
        <w:rPr>
          <w:b/>
          <w:bCs/>
        </w:rPr>
        <w:t>17.5. Prelungirea duratei de execuție.</w:t>
      </w:r>
      <w:r>
        <w:rPr/>
        <w:t xml:space="preserve"> Orice prelungire trebuie efectuată astfel încât punerea în funcțiune să intervină înaintea termenului de implementare prevăzut la art. 14.3 lit. (a).</w:t>
      </w:r>
    </w:p>
    <w:p>
      <w:pPr>
        <w:pStyle w:val="BodyText"/>
        <w:rPr/>
      </w:pPr>
      <w:r>
        <w:rPr/>
        <w:t xml:space="preserve">Prelungirea duratei de execuție se acordă numai pentru perioadele de suspendare constatate conform art. 15.1¹ și art. 15.1², ori prin acordul Părților pentru cauze neimputabile Furnizorului, cu justificare consemnată în scris. </w:t>
      </w:r>
      <w:r>
        <w:rPr>
          <w:b/>
          <w:bCs/>
        </w:rPr>
        <w:t>Durata controlată de Furnizor nu a constituit factor de punctaj</w:t>
      </w:r>
      <w:r>
        <w:rPr/>
        <w:t xml:space="preserve">, prin urmare prelungirea ei nu afectează rezultatul procedurii de atribuire și nu impune vreun test de recalculare a ierarhiei ofertelor, </w:t>
      </w:r>
      <w:r>
        <w:rPr>
          <w:b/>
          <w:bCs/>
        </w:rPr>
        <w:t>cu excepția cazului în care ierarhia a fost stabilită prin departajarea de la §7.3 pct. 5 din Caietul de Sarcini</w:t>
      </w:r>
      <w:r>
        <w:rPr/>
        <w:t>; în acest caz, prelungirea se acordă numai pentru perioadele de suspendare de la art. 15.1¹ și art. 15.1².</w:t>
      </w:r>
    </w:p>
    <w:p>
      <w:pPr>
        <w:pStyle w:val="BodyText"/>
        <w:rPr/>
      </w:pPr>
      <w:r>
        <w:rPr>
          <w:b/>
          <w:bCs/>
        </w:rPr>
        <w:t>17.6.</w:t>
      </w:r>
      <w:r>
        <w:rPr/>
        <w:t xml:space="preserve"> Furnizorul ia cunoștință că Beneficiarul are obligația de a transmite Ministerului Energiei, în termen de maximum 5 zile lucrătoare, orice modificare a prezentului Contract depusă anterior pentru o cerere de rambursare, și se obligă să furnizeze documentele necesare </w:t>
      </w:r>
      <w:r>
        <w:rPr>
          <w:b/>
          <w:bCs/>
        </w:rPr>
        <w:t>în maximum 2 zile lucrătoare</w:t>
      </w:r>
      <w:r>
        <w:rPr/>
        <w:t xml:space="preserve"> de la solicitare; depășirea termenului atrage consecințele de la art. 23.4.</w:t>
      </w:r>
      <w:bookmarkEnd w:id="22"/>
    </w:p>
    <w:p>
      <w:pPr>
        <w:pStyle w:val="Heading3"/>
        <w:rPr/>
      </w:pPr>
      <w:bookmarkStart w:id="23" w:name="art.-18-încetarea-contractului"/>
      <w:r>
        <w:rPr/>
        <w:t>Art. 18 — Încetarea Contractului</w:t>
      </w:r>
    </w:p>
    <w:p>
      <w:pPr>
        <w:pStyle w:val="FirstParagraph"/>
        <w:rPr/>
      </w:pPr>
      <w:r>
        <w:rPr>
          <w:b/>
          <w:bCs/>
        </w:rPr>
        <w:t>18.1.</w:t>
      </w:r>
      <w:r>
        <w:rPr/>
        <w:t xml:space="preserve"> Rezilierea poate fi solicitată de Partea prejudiciată în cazul neîndeplinirii culpabile a obligațiilor, după notificare prealabilă cu termen de remediere de 15 zile calendaristice, </w:t>
      </w:r>
      <w:r>
        <w:rPr>
          <w:b/>
          <w:bCs/>
        </w:rPr>
        <w:t>cu excepția defectelor care împiedică funcționarea sistemului, pentru care termenul de remediere este cel de la §3.5 din Caietul de Sarcini</w:t>
      </w:r>
      <w:r>
        <w:rPr/>
        <w:t>.</w:t>
      </w:r>
    </w:p>
    <w:p>
      <w:pPr>
        <w:pStyle w:val="BodyText"/>
        <w:rPr/>
      </w:pPr>
      <w:r>
        <w:rPr>
          <w:b/>
          <w:bCs/>
        </w:rPr>
        <w:t>18.2.</w:t>
      </w:r>
      <w:r>
        <w:rPr/>
        <w:t xml:space="preserve"> În caz de reziliere imputabilă Beneficiarului, Furnizorul are dreptul la plata Lucrărilor executate, la echipamentele deja comandate sau livrate, precum și la o despăgubire de 10% din valoarea reziduală.</w:t>
      </w:r>
    </w:p>
    <w:p>
      <w:pPr>
        <w:pStyle w:val="BodyText"/>
        <w:rPr/>
      </w:pPr>
      <w:r>
        <w:rPr>
          <w:b/>
          <w:bCs/>
        </w:rPr>
        <w:t>18.3.</w:t>
      </w:r>
      <w:r>
        <w:rPr/>
        <w:t xml:space="preserve"> În caz de reziliere imputabilă Furnizorului, Beneficiarul are dreptul la restituirea sumelor plătite pentru Lucrările neexecutate, la executarea garanțiilor, la păstrarea echipamentelor plătite, a căror proprietate a trecut conform art. 12.5, precum și la o despăgubire de 10% din valoarea reziduală, fără a aduce atingere dreptului la penalități și la repararea integrală a prejudiciului.</w:t>
      </w:r>
    </w:p>
    <w:p>
      <w:pPr>
        <w:pStyle w:val="BodyText"/>
        <w:rPr/>
      </w:pPr>
      <w:r>
        <w:rPr>
          <w:b/>
          <w:bCs/>
        </w:rPr>
        <w:t>18.4. Insolvență și dificultate financiară.</w:t>
      </w:r>
      <w:r>
        <w:rPr/>
        <w:t xml:space="preserve"> Furnizorul notifică Beneficiarul în 3 zile lucrătoare despre deschiderea oricărei proceduri de insolvență, concordat preventiv, dizolvare sau lichidare, în privința sa ori a unui subcontractant principal. În această situație, precum și în cazul în care apar indicii temeinice privind incapacitatea de executare, </w:t>
      </w:r>
      <w:r>
        <w:rPr>
          <w:b/>
          <w:bCs/>
        </w:rPr>
        <w:t>Beneficiarul poate solicita constituirea unei garanții suplimentare sau alte asigurări adecvate de executare, în termen de 15 zile</w:t>
      </w:r>
      <w:r>
        <w:rPr/>
        <w:t>; neconstituirea acestora constituie neexecutare culpabilă și dă dreptul la reziliere în condițiile art. 18.1. Părțile iau act că, potrivit art. 123 alin. (1) din Legea nr. 85/2014, desființarea Contractului nu poate opera pentru simplul motiv al deschiderii procedurii insolvenței.</w:t>
      </w:r>
    </w:p>
    <w:p>
      <w:pPr>
        <w:pStyle w:val="BodyText"/>
        <w:rPr/>
      </w:pPr>
      <w:r>
        <w:rPr>
          <w:b/>
          <w:bCs/>
        </w:rPr>
        <w:t>18.5.</w:t>
      </w:r>
      <w:r>
        <w:rPr/>
        <w:t xml:space="preserve"> Beneficiarul poate rezilia Contractul de plin drept, fără intervenția instanței și fără termen de remediere, dacă: garanția de bună execuție nu este constituită în termenul de la art. 6.1¹; Furnizorul abandonează Lucrările; pierde autorizațiile sau atestatele necesare; întârzierea depășește perioada de la art. 8.6; abaterea de la Valorile Garantate depășește pragul de la art. 9.6; </w:t>
      </w:r>
      <w:r>
        <w:rPr>
          <w:b/>
          <w:bCs/>
        </w:rPr>
        <w:t>se constată substituție neautorizată în condițiile art. 12.8 lit. (c)</w:t>
      </w:r>
      <w:r>
        <w:rPr/>
        <w:t xml:space="preserve">; </w:t>
      </w:r>
      <w:r>
        <w:rPr>
          <w:b/>
          <w:bCs/>
        </w:rPr>
        <w:t>Furnizorul, un subcontractant sau un beneficiar real al acestora intră sub incidența măsurilor restrictive ale Uniunii Europene</w:t>
      </w:r>
      <w:r>
        <w:rPr/>
        <w:t>; se constată că declarațiile din ofertă au fost false.</w:t>
      </w:r>
      <w:bookmarkEnd w:id="23"/>
    </w:p>
    <w:p>
      <w:pPr>
        <w:pStyle w:val="Heading3"/>
        <w:rPr/>
      </w:pPr>
      <w:bookmarkStart w:id="24" w:name="X3ee025680dc81de78cf0ae9707043ef398ed118"/>
      <w:r>
        <w:rPr/>
        <w:t>Art. 19 — Preluarea subcontractelor și a comenzilor</w:t>
      </w:r>
    </w:p>
    <w:p>
      <w:pPr>
        <w:pStyle w:val="FirstParagraph"/>
        <w:rPr/>
      </w:pPr>
      <w:r>
        <w:rPr>
          <w:b/>
          <w:bCs/>
        </w:rPr>
        <w:t>19.1.</w:t>
      </w:r>
      <w:r>
        <w:rPr/>
        <w:t xml:space="preserve"> În caz de reziliere din culpa Furnizorului sau în situația prevăzută la art. 8.6, Beneficiarul are dreptul, la alegerea sa, </w:t>
      </w:r>
      <w:r>
        <w:rPr>
          <w:b/>
          <w:bCs/>
        </w:rPr>
        <w:t>de a prelua prin cesiune contractele încheiate de Furnizor cu subcontractanții, subfurnizorii și producătorii de echipamente</w:t>
      </w:r>
      <w:r>
        <w:rPr/>
        <w:t xml:space="preserve"> aferente Lucrărilor, în starea în care se află.</w:t>
      </w:r>
    </w:p>
    <w:p>
      <w:pPr>
        <w:pStyle w:val="BodyText"/>
        <w:rPr/>
      </w:pPr>
      <w:r>
        <w:rPr>
          <w:b/>
          <w:bCs/>
        </w:rPr>
        <w:t>19.2.</w:t>
      </w:r>
      <w:r>
        <w:rPr/>
        <w:t xml:space="preserve"> Furnizorul include în fiecare contract de subcontractare și în fiecare contract sau comandă către </w:t>
      </w:r>
      <w:r>
        <w:rPr>
          <w:b/>
          <w:bCs/>
        </w:rPr>
        <w:t>producătorii echipamentelor principale</w:t>
      </w:r>
      <w:r>
        <w:rPr/>
        <w:t xml:space="preserve"> — celulele și sistemul de stocare, unitatea de conversie, transformatorul de forță și EMS — o clauză prin care cocontractantul își dă anticipat acordul la o astfel de cesiune și se obligă să continue executarea în raport cu Beneficiarul, în aceleași condiții. </w:t>
      </w:r>
      <w:r>
        <w:rPr>
          <w:b/>
          <w:bCs/>
        </w:rPr>
        <w:t>Furnizorul transmite Beneficiarului copia clauzei, acceptată de cocontractant, în maximum 10 zile lucrătoare de la încheierea fiecărui contract sau de la emiterea fiecărei comenzi</w:t>
      </w:r>
      <w:r>
        <w:rPr/>
        <w:t>; netransmiterea constituie neexecutare, în condițiile art. 18.1.</w:t>
      </w:r>
    </w:p>
    <w:p>
      <w:pPr>
        <w:pStyle w:val="BodyText"/>
        <w:rPr/>
      </w:pPr>
      <w:r>
        <w:rPr>
          <w:b/>
          <w:bCs/>
        </w:rPr>
        <w:t>19.3.</w:t>
      </w:r>
      <w:r>
        <w:rPr/>
        <w:t xml:space="preserve"> Furnizorul transmite Beneficiarului, în maximum 5 zile lucrătoare de la cerere, lista actualizată a subcontractanților și comenzilor, cu valorile și stadiile de execuție.</w:t>
      </w:r>
      <w:bookmarkEnd w:id="20"/>
      <w:bookmarkEnd w:id="24"/>
    </w:p>
    <w:p>
      <w:pPr>
        <w:pStyle w:val="Heading2"/>
        <w:rPr/>
      </w:pPr>
      <w:bookmarkStart w:id="25" w:name="X4aa46c061f4580d81c66995c28d58a4d465c65f"/>
      <w:r>
        <w:rPr/>
        <w:t>CAPITOLUL VI — CONFORMITATE ȘI CONTINUITATE</w:t>
      </w:r>
    </w:p>
    <w:p>
      <w:pPr>
        <w:pStyle w:val="Heading3"/>
        <w:rPr/>
      </w:pPr>
      <w:bookmarkStart w:id="26" w:name="X0cd823296b965382384610a1395af627059f6dc"/>
      <w:r>
        <w:rPr/>
        <w:t>Art. 20 — Continuitate operațională, kit de continuitate și piese de schimb</w:t>
      </w:r>
    </w:p>
    <w:p>
      <w:pPr>
        <w:pStyle w:val="FirstParagraph"/>
        <w:rPr/>
      </w:pPr>
      <w:r>
        <w:rPr>
          <w:b/>
          <w:bCs/>
        </w:rPr>
        <w:t>20.1.</w:t>
      </w:r>
      <w:r>
        <w:rPr/>
        <w:t xml:space="preserve"> Furnizorul predă Beneficiarului toate parolele, configurațiile, licențele și accesurile operaționale necesare utilizării sistemelor EMS/PPC și </w:t>
      </w:r>
      <w:r>
        <w:rPr>
          <w:b/>
          <w:bCs/>
        </w:rPr>
        <w:t>nu va restricționa, dezactiva sau limita funcționalitățile sistemului fără acordul prealabil scris al Beneficiarului</w:t>
      </w:r>
      <w:r>
        <w:rPr/>
        <w:t>, cu excepția situațiilor de urgență privind siguranța sistemului. Obligația se completează cu art. 13.8 privind accesul la date.</w:t>
      </w:r>
    </w:p>
    <w:p>
      <w:pPr>
        <w:pStyle w:val="BodyText"/>
        <w:rPr/>
      </w:pPr>
      <w:r>
        <w:rPr>
          <w:b/>
          <w:bCs/>
        </w:rPr>
        <w:t>20.1¹. Obligații operaționale continue.</w:t>
      </w:r>
      <w:r>
        <w:rPr/>
        <w:t xml:space="preserve"> Pe toată durata garanției de performanță, Furnizorul:</w:t>
      </w:r>
    </w:p>
    <w:p>
      <w:pPr>
        <w:pStyle w:val="BodyText"/>
        <w:rPr/>
      </w:pPr>
      <w:r>
        <w:rPr>
          <w:b/>
          <w:bCs/>
        </w:rPr>
        <w:t>(a)</w:t>
      </w:r>
      <w:r>
        <w:rPr/>
        <w:t xml:space="preserve"> menține </w:t>
      </w:r>
      <w:r>
        <w:rPr>
          <w:b/>
          <w:bCs/>
        </w:rPr>
        <w:t>jurnalizarea continuă</w:t>
      </w:r>
      <w:r>
        <w:rPr/>
        <w:t xml:space="preserve"> prevăzută la §3.3 lit. E25 din Caietul de Sarcini, cu rezoluție de cel mult un minut, cu păstrarea datelor pe întreaga durată a garanției, cu interfața de citire accesibilă permanent Beneficiarului și cu exportul zilnic în format deschis; menține valabile certificatele de etalonare ale traductoarelor și predă noile certificate la fiecare reetalonare;</w:t>
      </w:r>
    </w:p>
    <w:p>
      <w:pPr>
        <w:pStyle w:val="BodyText"/>
        <w:rPr/>
      </w:pPr>
      <w:r>
        <w:rPr>
          <w:b/>
          <w:bCs/>
        </w:rPr>
        <w:t>(b)</w:t>
      </w:r>
      <w:r>
        <w:rPr/>
        <w:t xml:space="preserve"> utilizează </w:t>
      </w:r>
      <w:r>
        <w:rPr>
          <w:b/>
          <w:bCs/>
        </w:rPr>
        <w:t>exclusiv adresa de poștă electronică dedicată</w:t>
      </w:r>
      <w:r>
        <w:rPr/>
        <w:t xml:space="preserve"> pusă la dispoziție de Beneficiar pentru comunicarea privind incidentele, cererile de intervenție și confirmarea remedierii, conform §3.3 lit. E27; menține configurarea EMS pentru transmiterea automată a alarmelor, clasificate pe categoriile de severitate convenite. </w:t>
      </w:r>
      <w:r>
        <w:rPr>
          <w:b/>
          <w:bCs/>
        </w:rPr>
        <w:t>Momentul de referință pentru orice termen de intervenție este ora de primire pe serverul Beneficiarului</w:t>
      </w:r>
      <w:r>
        <w:rPr/>
        <w:t>;</w:t>
      </w:r>
    </w:p>
    <w:p>
      <w:pPr>
        <w:pStyle w:val="BodyText"/>
        <w:rPr/>
      </w:pPr>
      <w:r>
        <w:rPr>
          <w:b/>
          <w:bCs/>
        </w:rPr>
        <w:t>(c)</w:t>
      </w:r>
      <w:r>
        <w:rPr/>
        <w:t xml:space="preserve"> menține funcțională </w:t>
      </w:r>
      <w:r>
        <w:rPr>
          <w:b/>
          <w:bCs/>
        </w:rPr>
        <w:t>interfața pentru optimizator terț</w:t>
      </w:r>
      <w:r>
        <w:rPr/>
        <w:t xml:space="preserve"> de la §3.3 lit. E28 și </w:t>
      </w:r>
      <w:r>
        <w:rPr>
          <w:b/>
          <w:bCs/>
        </w:rPr>
        <w:t>nu condiționează</w:t>
      </w:r>
      <w:r>
        <w:rPr/>
        <w:t xml:space="preserve"> garanția, întreținerea sau suportul de utilizarea propriei platforme de optimizare, nici nu percepe tarif pentru conectarea unui optimizator terț;</w:t>
      </w:r>
    </w:p>
    <w:p>
      <w:pPr>
        <w:pStyle w:val="BodyText"/>
        <w:rPr/>
      </w:pPr>
      <w:r>
        <w:rPr>
          <w:b/>
          <w:bCs/>
        </w:rPr>
        <w:t>(d)</w:t>
      </w:r>
      <w:r>
        <w:rPr/>
        <w:t xml:space="preserve"> menține </w:t>
      </w:r>
      <w:r>
        <w:rPr>
          <w:b/>
          <w:bCs/>
        </w:rPr>
        <w:t>echipa de service</w:t>
      </w:r>
      <w:r>
        <w:rPr/>
        <w:t xml:space="preserve"> și </w:t>
      </w:r>
      <w:r>
        <w:rPr>
          <w:b/>
          <w:bCs/>
        </w:rPr>
        <w:t>timpul de intervenție garantat</w:t>
      </w:r>
      <w:r>
        <w:rPr/>
        <w:t xml:space="preserve"> declarat ca Valoare Garantată V9, conform §3.3 lit. E14. Timpul mediu de intervenție realizat, pe categorii de severitate, se determină trimestrial din registrul de incidente și se compară cu V9; depășirea atrage penalitățile de la art. 14;</w:t>
      </w:r>
    </w:p>
    <w:p>
      <w:pPr>
        <w:pStyle w:val="BodyText"/>
        <w:rPr/>
      </w:pPr>
      <w:r>
        <w:rPr>
          <w:b/>
          <w:bCs/>
        </w:rPr>
        <w:t>(e)</w:t>
      </w:r>
      <w:r>
        <w:rPr/>
        <w:t xml:space="preserve"> menține </w:t>
      </w:r>
      <w:r>
        <w:rPr>
          <w:b/>
          <w:bCs/>
        </w:rPr>
        <w:t>funcția de limitare a ponderii de energie absorbită din rețea</w:t>
      </w:r>
      <w:r>
        <w:rPr/>
        <w:t xml:space="preserve"> de la §3.3 lit. E10c și E10d, cu limitarea locală prevalentă asupra oricărei comenzi externe. </w:t>
      </w:r>
      <w:r>
        <w:rPr>
          <w:b/>
          <w:bCs/>
        </w:rPr>
        <w:t>Dezactivarea sau ocolirea acestei funcții constituie neexecutare gravă</w:t>
      </w:r>
      <w:r>
        <w:rPr/>
        <w:t xml:space="preserve"> și atrage rezilierea în condițiile art. 18, Beneficiarul fiind expus corecției financiare pentru neîndeplinirea indicatorului FMC03.</w:t>
      </w:r>
    </w:p>
    <w:p>
      <w:pPr>
        <w:pStyle w:val="BodyText"/>
        <w:rPr/>
      </w:pPr>
      <w:r>
        <w:rPr>
          <w:b/>
          <w:bCs/>
        </w:rPr>
        <w:t>20.2. Kitul de continuitate.</w:t>
      </w:r>
      <w:r>
        <w:rPr/>
        <w:t xml:space="preserve"> Cel târziu la Recepția la Terminarea Lucrărilor, Furnizorul predă Beneficiarului, pe două suporturi de stocare criptate, cu parola comunicată separat, un kit de continuitate care cuprinde:</w:t>
      </w:r>
    </w:p>
    <w:p>
      <w:pPr>
        <w:pStyle w:val="BodyText"/>
        <w:rPr/>
      </w:pPr>
      <w:r>
        <w:rPr>
          <w:b/>
          <w:bCs/>
        </w:rPr>
        <w:t>(a)</w:t>
      </w:r>
      <w:r>
        <w:rPr/>
        <w:t xml:space="preserve"> configurația și parametrizarea EMS și PPC, în format nativ și în format exportabil; </w:t>
      </w:r>
      <w:r>
        <w:rPr>
          <w:b/>
          <w:bCs/>
        </w:rPr>
        <w:t>(b)</w:t>
      </w:r>
      <w:r>
        <w:rPr/>
        <w:t xml:space="preserve"> imaginile de firmware instalate, cu versiunile și sumele de control corespunzătoare; </w:t>
      </w:r>
      <w:r>
        <w:rPr>
          <w:b/>
          <w:bCs/>
        </w:rPr>
        <w:t>(c)</w:t>
      </w:r>
      <w:r>
        <w:rPr/>
        <w:t xml:space="preserve"> cheile de licență și procedura de reactivare; </w:t>
      </w:r>
      <w:r>
        <w:rPr>
          <w:b/>
          <w:bCs/>
        </w:rPr>
        <w:t>(d)</w:t>
      </w:r>
      <w:r>
        <w:rPr/>
        <w:t xml:space="preserve"> documentația de integrare, schemele de comunicație și maparea semnalelor; </w:t>
      </w:r>
      <w:r>
        <w:rPr>
          <w:b/>
          <w:bCs/>
        </w:rPr>
        <w:t>(e)</w:t>
      </w:r>
      <w:r>
        <w:rPr/>
        <w:t xml:space="preserve"> lista pieselor de schimb critice, cu coduri de producător; </w:t>
      </w:r>
      <w:r>
        <w:rPr>
          <w:b/>
          <w:bCs/>
        </w:rPr>
        <w:t>(f)</w:t>
      </w:r>
      <w:r>
        <w:rPr/>
        <w:t xml:space="preserve"> </w:t>
      </w:r>
      <w:r>
        <w:rPr>
          <w:b/>
          <w:bCs/>
        </w:rPr>
        <w:t>specificația formatului de export al datelor și procedura de extragere a jurnalelor prevăzute la art. 13.8</w:t>
      </w:r>
      <w:r>
        <w:rPr/>
        <w:t xml:space="preserve">, astfel încât determinările de la art. 13.3¹ să poată fi efectuate fără concursul Furnizorului; </w:t>
      </w:r>
      <w:r>
        <w:rPr>
          <w:b/>
          <w:bCs/>
        </w:rPr>
        <w:t>(g)</w:t>
      </w:r>
      <w:r>
        <w:rPr/>
        <w:t xml:space="preserve"> un </w:t>
      </w:r>
      <w:r>
        <w:rPr>
          <w:b/>
          <w:bCs/>
        </w:rPr>
        <w:t>inventar detaliat</w:t>
      </w:r>
      <w:r>
        <w:rPr/>
        <w:t xml:space="preserve"> al conținutului și o </w:t>
      </w:r>
      <w:r>
        <w:rPr>
          <w:b/>
          <w:bCs/>
        </w:rPr>
        <w:t>procedură de restaurare</w:t>
      </w:r>
      <w:r>
        <w:rPr/>
        <w:t xml:space="preserve"> pentru preluarea operării, </w:t>
      </w:r>
      <w:r>
        <w:rPr>
          <w:b/>
          <w:bCs/>
        </w:rPr>
        <w:t>demonstrată la PIF</w:t>
      </w:r>
      <w:r>
        <w:rPr/>
        <w:t xml:space="preserve"> și consemnată în procesul-verbal.</w:t>
      </w:r>
    </w:p>
    <w:p>
      <w:pPr>
        <w:pStyle w:val="BodyText"/>
        <w:rPr/>
      </w:pPr>
      <w:r>
        <w:rPr/>
        <w:t>Beneficiarul poate folosi kitul oricând, pentru operarea, întreținerea și continuitatea instalației, în limitele licenței de la art. 25. Kitul nu cuprinde codul sursă al software-ului producătorilor. Costurile sunt incluse în Preț.</w:t>
      </w:r>
    </w:p>
    <w:p>
      <w:pPr>
        <w:pStyle w:val="BodyText"/>
        <w:rPr/>
      </w:pPr>
      <w:r>
        <w:rPr>
          <w:b/>
          <w:bCs/>
        </w:rPr>
        <w:t>20.3. Actualizarea și verificarea kitului.</w:t>
      </w:r>
      <w:r>
        <w:rPr/>
        <w:t xml:space="preserve"> Furnizorul actualizează kitul la fiecare actualizare de firmware sau modificare a parametrizării și, în orice caz, la fiecare verificare anuală de la art. 13.3¹, până la expirarea garanției de performanță; completitudinea kitului se verifică la aceeași dată. </w:t>
      </w:r>
      <w:r>
        <w:rPr>
          <w:b/>
          <w:bCs/>
        </w:rPr>
        <w:t>Neactualizarea în 30 de zile de la notificarea Beneficiarului constituie neexecutare</w:t>
      </w:r>
      <w:r>
        <w:rPr/>
        <w:t xml:space="preserve"> și atrage remediile de la art. 18.</w:t>
      </w:r>
    </w:p>
    <w:p>
      <w:pPr>
        <w:pStyle w:val="BodyText"/>
        <w:rPr/>
      </w:pPr>
      <w:r>
        <w:rPr>
          <w:b/>
          <w:bCs/>
        </w:rPr>
        <w:t>20.4. Funcționare locală.</w:t>
      </w:r>
      <w:r>
        <w:rPr/>
        <w:t xml:space="preserve"> Sistemul trebuie să poată funcționa integral, pentru toate funcțiile de control, fără conexiune la un serviciu cloud extern. Această capabilitate se demonstrează la PIF și se consemnează în procesul-verbal.</w:t>
      </w:r>
    </w:p>
    <w:p>
      <w:pPr>
        <w:pStyle w:val="BodyText"/>
        <w:rPr/>
      </w:pPr>
      <w:r>
        <w:rPr>
          <w:b/>
          <w:bCs/>
        </w:rPr>
        <w:t>20.5. Piese de schimb.</w:t>
      </w:r>
      <w:r>
        <w:rPr/>
        <w:t xml:space="preserve"> Furnizorul asigură disponibilitatea pieselor de schimb critice timp de </w:t>
      </w:r>
      <w:r>
        <w:rPr>
          <w:b/>
          <w:bCs/>
        </w:rPr>
        <w:t>20 de ani</w:t>
      </w:r>
      <w:r>
        <w:rPr/>
        <w:t xml:space="preserve"> de la PIF. Cu cel puțin </w:t>
      </w:r>
      <w:r>
        <w:rPr>
          <w:b/>
          <w:bCs/>
        </w:rPr>
        <w:t>12 luni</w:t>
      </w:r>
      <w:r>
        <w:rPr/>
        <w:t xml:space="preserve"> înainte de încetarea producției unei componente, Furnizorul notifică Beneficiarul și îi oferă posibilitatea unei achiziții finale (</w:t>
      </w:r>
      <w:r>
        <w:rPr>
          <w:i/>
          <w:iCs/>
        </w:rPr>
        <w:t>last-time buy</w:t>
      </w:r>
      <w:r>
        <w:rPr/>
        <w:t>), la prețuri care nu pot depăși ultimul preț practicat, ajustat cu indicele armonizat al prețurilor de consum al Uniunii Europene.</w:t>
      </w:r>
    </w:p>
    <w:p>
      <w:pPr>
        <w:pStyle w:val="BodyText"/>
        <w:rPr/>
      </w:pPr>
      <w:r>
        <w:rPr>
          <w:b/>
          <w:bCs/>
        </w:rPr>
        <w:t>Setul de piese de schimb inclus în Preț</w:t>
      </w:r>
      <w:r>
        <w:rPr/>
        <w:t xml:space="preserve">, prevăzut la §3.8 din Caietul de Sarcini, se livrează pe amplasament cel târziu la Recepția la Terminarea Lucrărilor, iar </w:t>
      </w:r>
      <w:r>
        <w:rPr>
          <w:b/>
          <w:bCs/>
        </w:rPr>
        <w:t>dreptul de proprietate asupra acestuia se transferă Beneficiarului potrivit art. 12.5</w:t>
      </w:r>
      <w:r>
        <w:rPr/>
        <w:t>. Piesele rămân în custodia Beneficiarului și pot fi utilizate de Furnizor pentru intervenții în garanție, cu obligația de a le înlocui pe cheltuiala sa în termen de 60 de zile.</w:t>
      </w:r>
      <w:bookmarkEnd w:id="26"/>
    </w:p>
    <w:p>
      <w:pPr>
        <w:pStyle w:val="Heading3"/>
        <w:rPr/>
      </w:pPr>
      <w:bookmarkStart w:id="27" w:name="art.-21-securitate-cibernetică"/>
      <w:r>
        <w:rPr/>
        <w:t>Art. 21 — Securitate cibernetică</w:t>
      </w:r>
    </w:p>
    <w:p>
      <w:pPr>
        <w:pStyle w:val="FirstParagraph"/>
        <w:rPr/>
      </w:pPr>
      <w:r>
        <w:rPr>
          <w:b/>
          <w:bCs/>
        </w:rPr>
        <w:t>21.1.</w:t>
      </w:r>
      <w:r>
        <w:rPr/>
        <w:t xml:space="preserve"> Furnizorul respectă integral cerințele de la </w:t>
      </w:r>
      <w:r>
        <w:rPr>
          <w:b/>
          <w:bCs/>
        </w:rPr>
        <w:t>§3.7 din Caietul de Sarcini</w:t>
      </w:r>
      <w:r>
        <w:rPr/>
        <w:t>.</w:t>
      </w:r>
    </w:p>
    <w:p>
      <w:pPr>
        <w:pStyle w:val="BodyText"/>
        <w:rPr/>
      </w:pPr>
      <w:r>
        <w:rPr>
          <w:b/>
          <w:bCs/>
        </w:rPr>
        <w:t>21.2.</w:t>
      </w:r>
      <w:r>
        <w:rPr/>
        <w:t xml:space="preserve"> Furnizorul asigură actualizări de securitate timp de minimum </w:t>
      </w:r>
      <w:r>
        <w:rPr>
          <w:b/>
          <w:bCs/>
        </w:rPr>
        <w:t>10 ani</w:t>
      </w:r>
      <w:r>
        <w:rPr/>
        <w:t xml:space="preserve"> de la PIF, menține o politică documentată de gestionare a vulnerabilităților și notifică Beneficiarul în cel mult 72 de ore de la luarea la cunoștință despre o vulnerabilitate exploatată activ care afectează echipamentele livrate. </w:t>
      </w:r>
      <w:r>
        <w:rPr>
          <w:b/>
          <w:bCs/>
        </w:rPr>
        <w:t>Neasigurarea actualizărilor de securitate în termenul prevăzut de politica de gestionare a vulnerabilităților constituie neexecutare</w:t>
      </w:r>
      <w:r>
        <w:rPr/>
        <w:t xml:space="preserve"> și atrage remediile de la art. 14 și art. 18.</w:t>
      </w:r>
    </w:p>
    <w:p>
      <w:pPr>
        <w:pStyle w:val="BodyText"/>
        <w:rPr/>
      </w:pPr>
      <w:r>
        <w:rPr>
          <w:b/>
          <w:bCs/>
        </w:rPr>
        <w:t>21.3.</w:t>
      </w:r>
      <w:r>
        <w:rPr/>
        <w:t xml:space="preserve"> Datele operaționale se stochează pe teritoriul Uniunii Europene. Furnizorul nu transmite date operaționale către terți fără acordul scris al Beneficiarului.</w:t>
      </w:r>
    </w:p>
    <w:p>
      <w:pPr>
        <w:pStyle w:val="BodyText"/>
        <w:rPr/>
      </w:pPr>
      <w:r>
        <w:rPr>
          <w:b/>
          <w:bCs/>
        </w:rPr>
        <w:t>21.4.</w:t>
      </w:r>
      <w:r>
        <w:rPr/>
        <w:t xml:space="preserve"> Aplicarea unei actualizări de firmware sau de configurare </w:t>
      </w:r>
      <w:r>
        <w:rPr>
          <w:b/>
          <w:bCs/>
        </w:rPr>
        <w:t>nu poate reduce niciuna dintre Valorile Garantate</w:t>
      </w:r>
      <w:r>
        <w:rPr/>
        <w:t xml:space="preserve"> și nu poate restrânge accesul la date prevăzut la art. 13.8. Furnizorul notifică Beneficiarul cu 10 zile lucrătoare înainte de orice actualizare care afectează parametrii de operare și actualizează corespunzător kitul de continuitate de la art. 20.2. Actualizarea aplicată fără notificare dă Beneficiarului dreptul de a cere revenirea la versiunea anterioară, pe cheltuiala Furnizorului, în maximum 5 zile lucrătoare de la solicitare.</w:t>
      </w:r>
      <w:bookmarkEnd w:id="27"/>
    </w:p>
    <w:p>
      <w:pPr>
        <w:pStyle w:val="Heading3"/>
        <w:rPr/>
      </w:pPr>
      <w:bookmarkStart w:id="28" w:name="Xa9537dbfaef6a662e68f514beedd23cd7fc5091"/>
      <w:r>
        <w:rPr/>
        <w:t>Art. 22 — Conformitate: sancțiuni, integritate, dublă finanțare</w:t>
      </w:r>
    </w:p>
    <w:p>
      <w:pPr>
        <w:pStyle w:val="FirstParagraph"/>
        <w:rPr/>
      </w:pPr>
      <w:r>
        <w:rPr>
          <w:b/>
          <w:bCs/>
        </w:rPr>
        <w:t>22.1. Măsuri restrictive.</w:t>
      </w:r>
      <w:r>
        <w:rPr/>
        <w:t xml:space="preserve"> Furnizorul garantează că nici el, nici subcontractanții, subfurnizorii sau beneficiarii reali ai acestora nu se află sub incidența măsurilor restrictive ale Uniunii Europene, și că niciun echipament sau componentă livrată nu provine din surse supuse acestor măsuri. Furnizorul notifică imediat orice schimbare.</w:t>
      </w:r>
    </w:p>
    <w:p>
      <w:pPr>
        <w:pStyle w:val="BodyText"/>
        <w:rPr/>
      </w:pPr>
      <w:r>
        <w:rPr>
          <w:b/>
          <w:bCs/>
        </w:rPr>
        <w:t>22.2. Clauza de neeludare.</w:t>
      </w:r>
      <w:r>
        <w:rPr/>
        <w:t xml:space="preserve"> Furnizorul se obligă să nu vândă, exporte sau reexporte, direct sau indirect, bunuri sau tehnologii furnizate în temeiul prezentului Contract, către Federația Rusă, Belarus sau pentru utilizare în acestea, și include obligații echivalente în contractele cu subcontractanții săi, cu titlu contractual, după modelul art. 12g din Regulamentul (UE) nr. 833/2014. Încălcarea constituie temei de reziliere de plin drept și atrage o penalitate de </w:t>
      </w:r>
      <w:r>
        <w:rPr>
          <w:b/>
          <w:bCs/>
        </w:rPr>
        <w:t>10% din valoarea Contractului</w:t>
      </w:r>
      <w:r>
        <w:rPr/>
        <w:t>.</w:t>
      </w:r>
    </w:p>
    <w:p>
      <w:pPr>
        <w:pStyle w:val="BodyText"/>
        <w:rPr/>
      </w:pPr>
      <w:r>
        <w:rPr>
          <w:b/>
          <w:bCs/>
        </w:rPr>
        <w:t>22.3. Integritate.</w:t>
      </w:r>
      <w:r>
        <w:rPr/>
        <w:t xml:space="preserve"> Furnizorul declară că nu a oferit și nu va oferi, direct sau indirect, niciun avantaj material sau de altă natură vreunei persoane implicate în atribuirea sau executarea Contractului, și că nu efectuează plăți de facilitare.</w:t>
      </w:r>
    </w:p>
    <w:p>
      <w:pPr>
        <w:pStyle w:val="BodyText"/>
        <w:rPr/>
      </w:pPr>
      <w:r>
        <w:rPr>
          <w:b/>
          <w:bCs/>
        </w:rPr>
        <w:t>22.3¹. Modificarea echipamentelor și aprobarea autorității de finanțare.</w:t>
      </w:r>
      <w:r>
        <w:rPr/>
        <w:t xml:space="preserve"> Furnizorul </w:t>
      </w:r>
      <w:r>
        <w:rPr>
          <w:b/>
          <w:bCs/>
        </w:rPr>
        <w:t>nu va înlocui, modifica sau substitui niciun echipament principal</w:t>
      </w:r>
      <w:r>
        <w:rPr/>
        <w:t xml:space="preserve"> față de cel din oferta acceptată fără notificarea prealabilă a Beneficiarului, fără respectarea condițiilor de la art. 12.8 și art. 17.4 și, dacă este cazul, fără obținerea aprobării prealabile a Ministerului Energiei, în condițiile Contractului de finanțare. Costurile și întârzierile generate de o modificare inițiată de Furnizor, inclusiv cele aferente procedurii de aprobare, sunt suportate integral de acesta.</w:t>
      </w:r>
    </w:p>
    <w:p>
      <w:pPr>
        <w:pStyle w:val="BodyText"/>
        <w:rPr/>
      </w:pPr>
      <w:r>
        <w:rPr>
          <w:b/>
          <w:bCs/>
        </w:rPr>
        <w:t>22.4. Dublă finanțare și conflict de interese.</w:t>
      </w:r>
      <w:r>
        <w:rPr/>
        <w:t xml:space="preserve"> Declarațiile date în cadrul Procedurii privind evitarea dublei finanțări și a conflictului de interese își mențin valabilitatea pe toată durata Contractului. Furnizorul notifică orice modificare a situației declarate în maximum 5 zile lucrătoare; nenotificarea constituie neexecutare, în condițiile art. 18.1.</w:t>
      </w:r>
      <w:bookmarkEnd w:id="28"/>
    </w:p>
    <w:p>
      <w:pPr>
        <w:pStyle w:val="Heading3"/>
        <w:rPr/>
      </w:pPr>
      <w:bookmarkStart w:id="29" w:name="Xeb1e5b423155b26928ce91816ef31f9f91862f6"/>
      <w:r>
        <w:rPr/>
        <w:t>Art. 23 — Corecții financiare și recuperare</w:t>
      </w:r>
    </w:p>
    <w:p>
      <w:pPr>
        <w:pStyle w:val="FirstParagraph"/>
        <w:rPr/>
      </w:pPr>
      <w:r>
        <w:rPr>
          <w:b/>
          <w:bCs/>
        </w:rPr>
        <w:t>23.1.</w:t>
      </w:r>
      <w:r>
        <w:rPr/>
        <w:t xml:space="preserve"> Furnizorul ia cunoștință că Lucrările sunt finanțate din Fondul pentru modernizare și că Beneficiarul este supus regimului de verificare, control și recuperare prevăzut de Ordonanța de urgență a Guvernului nr. 66/2011.</w:t>
      </w:r>
    </w:p>
    <w:p>
      <w:pPr>
        <w:pStyle w:val="BodyText"/>
        <w:rPr/>
      </w:pPr>
      <w:r>
        <w:rPr>
          <w:b/>
          <w:bCs/>
        </w:rPr>
        <w:t>23.2.</w:t>
      </w:r>
      <w:r>
        <w:rPr/>
        <w:t xml:space="preserve"> Dacă, urmare a unei fapte, omisiuni, declarații inexacte sau neexecutări imputabile Furnizorului, autoritatea de management, un organism de audit ori o altă autoritate competentă aplică Beneficiarului o </w:t>
      </w:r>
      <w:r>
        <w:rPr>
          <w:b/>
          <w:bCs/>
        </w:rPr>
        <w:t>corecție financiară</w:t>
      </w:r>
      <w:r>
        <w:rPr/>
        <w:t xml:space="preserve">, declară o cheltuială </w:t>
      </w:r>
      <w:r>
        <w:rPr>
          <w:b/>
          <w:bCs/>
        </w:rPr>
        <w:t>neeligibilă</w:t>
      </w:r>
      <w:r>
        <w:rPr/>
        <w:t xml:space="preserve"> sau dispune recuperarea unor sume, </w:t>
      </w:r>
      <w:r>
        <w:rPr>
          <w:b/>
          <w:bCs/>
        </w:rPr>
        <w:t>Furnizorul suportă integral suma respectivă</w:t>
      </w:r>
      <w:r>
        <w:rPr/>
        <w:t>, împreună cu dobânzile, penalitățile și cheltuielile aferente, în termen de 30 de zile de la notificarea Beneficiarului, însoțită de actul autorității.</w:t>
      </w:r>
    </w:p>
    <w:p>
      <w:pPr>
        <w:pStyle w:val="BodyText"/>
        <w:rPr/>
      </w:pPr>
      <w:r>
        <w:rPr>
          <w:b/>
          <w:bCs/>
        </w:rPr>
        <w:t>23.2¹. Indicatorii de rezultat.</w:t>
      </w:r>
      <w:r>
        <w:rPr/>
        <w:t xml:space="preserve"> Obligația de la art. 23.2 se aplică inclusiv în cazul în care corecția, neeligibilitatea sau recuperarea are drept cauză </w:t>
      </w:r>
      <w:r>
        <w:rPr>
          <w:b/>
          <w:bCs/>
        </w:rPr>
        <w:t>neîndeplinirea indicatorilor FMC03 sau FMC04</w:t>
      </w:r>
      <w:r>
        <w:rPr/>
        <w:t xml:space="preserve"> prevăzuți la §1.2 din Caietul de Sarcini, în măsura în care neîndeplinirea este determinată de nerealizarea Valorilor Garantate sau de nefuncționarea sistemului în interiorul Regimului de Operare de Proiectare, starea R2.</w:t>
      </w:r>
    </w:p>
    <w:p>
      <w:pPr>
        <w:pStyle w:val="BodyText"/>
        <w:rPr/>
      </w:pPr>
      <w:r>
        <w:rPr/>
        <w:t xml:space="preserve">Furnizorul </w:t>
      </w:r>
      <w:r>
        <w:rPr>
          <w:b/>
          <w:bCs/>
        </w:rPr>
        <w:t>nu răspunde</w:t>
      </w:r>
      <w:r>
        <w:rPr/>
        <w:t xml:space="preserve"> pentru neîndeplinirea indicatorilor determinată de decizii de exploatare ale Beneficiarului care depășesc Regimul de Operare de Proiectare, de indisponibilitatea centralei electrice fotovoltaice existente din cauze care nu îi sunt imputabile, ori de modificări ale cadrului de reglementare survenite ulterior semnării Contractului.</w:t>
      </w:r>
    </w:p>
    <w:p>
      <w:pPr>
        <w:pStyle w:val="BodyText"/>
        <w:rPr/>
      </w:pPr>
      <w:r>
        <w:rPr>
          <w:b/>
          <w:bCs/>
        </w:rPr>
        <w:t>23.3.</w:t>
      </w:r>
      <w:r>
        <w:rPr/>
        <w:t xml:space="preserve"> Obligația de la art. 23.2 subzistă timp de </w:t>
      </w:r>
      <w:r>
        <w:rPr>
          <w:b/>
          <w:bCs/>
        </w:rPr>
        <w:t>10 ani</w:t>
      </w:r>
      <w:r>
        <w:rPr/>
        <w:t xml:space="preserve"> de la Recepția Finală și este garantată, în limita disponibilului, prin garanția de bună execuție și prin reținerea de bună execuție.</w:t>
      </w:r>
    </w:p>
    <w:p>
      <w:pPr>
        <w:pStyle w:val="BodyText"/>
        <w:rPr/>
      </w:pPr>
      <w:r>
        <w:rPr>
          <w:b/>
          <w:bCs/>
        </w:rPr>
        <w:t>23.4.</w:t>
      </w:r>
      <w:r>
        <w:rPr/>
        <w:t xml:space="preserve"> Furnizorul furnizează, la cerere, în termen de 10 zile lucrătoare, orice document necesar Beneficiarului pentru justificarea cheltuielilor în cadrul cererilor de rambursare, inclusiv certificate de origine, documente de transport, rapoarte de test și liste de serii. </w:t>
      </w:r>
      <w:r>
        <w:rPr>
          <w:b/>
          <w:bCs/>
        </w:rPr>
        <w:t>Depășirea termenului atrage penalități de 0,05% din valoarea Contractului pentru fiecare zi de întârziere</w:t>
      </w:r>
      <w:r>
        <w:rPr/>
        <w:t>, iar dacă întârzierea blochează depunerea sau aprobarea cererii de rambursare, Furnizorul răspunde pentru prejudiciul rezultat, inclusiv pentru dobânzile creditului-punte purtate suplimentar.</w:t>
      </w:r>
      <w:bookmarkEnd w:id="25"/>
      <w:bookmarkEnd w:id="29"/>
    </w:p>
    <w:p>
      <w:pPr>
        <w:pStyle w:val="Heading2"/>
        <w:rPr/>
      </w:pPr>
      <w:bookmarkStart w:id="30" w:name="capitolul-vii-dispoziții-finale"/>
      <w:r>
        <w:rPr/>
        <w:t>CAPITOLUL VII — DISPOZIȚII FINALE</w:t>
      </w:r>
    </w:p>
    <w:p>
      <w:pPr>
        <w:pStyle w:val="Heading3"/>
        <w:rPr/>
      </w:pPr>
      <w:bookmarkStart w:id="31" w:name="art.-24-audit-și-pistă-de-audit"/>
      <w:r>
        <w:rPr/>
        <w:t>Art. 24 — Audit și pistă de audit</w:t>
      </w:r>
    </w:p>
    <w:p>
      <w:pPr>
        <w:pStyle w:val="FirstParagraph"/>
        <w:rPr/>
      </w:pPr>
      <w:r>
        <w:rPr>
          <w:b/>
          <w:bCs/>
        </w:rPr>
        <w:t>24.1.</w:t>
      </w:r>
      <w:r>
        <w:rPr/>
        <w:t xml:space="preserve"> Furnizorul permite accesul Ministerului Energiei, al organismelor de audit naționale și europene și al reprezentanților acestora, precum și al </w:t>
      </w:r>
      <w:r>
        <w:rPr>
          <w:b/>
          <w:bCs/>
        </w:rPr>
        <w:t>auditorului tehnico-economic independent și al auditorului financiar contractați de Beneficiar</w:t>
      </w:r>
      <w:r>
        <w:rPr/>
        <w:t xml:space="preserve"> în temeiul art. 9 alin. (8) pct. 2 din Contractul de finanțare, respectiv al art. 21 alin. (7) din Ordonanța de urgență a Guvernului nr. 60/2022, la documentele, amplasamentul și informațiile aferente executării prezentului Contract, și asigură același drept în contractele cu subcontractanții săi.</w:t>
      </w:r>
    </w:p>
    <w:p>
      <w:pPr>
        <w:pStyle w:val="BodyText"/>
        <w:rPr/>
      </w:pPr>
      <w:r>
        <w:rPr>
          <w:b/>
          <w:bCs/>
        </w:rPr>
        <w:t>24.1¹.</w:t>
      </w:r>
      <w:r>
        <w:rPr/>
        <w:t xml:space="preserve"> Furnizorul pune la dispoziția auditorilor prevăzuți la art. 24.1, în termen de </w:t>
      </w:r>
      <w:r>
        <w:rPr>
          <w:b/>
          <w:bCs/>
        </w:rPr>
        <w:t>10 zile lucrătoare</w:t>
      </w:r>
      <w:r>
        <w:rPr/>
        <w:t xml:space="preserve"> de la solicitarea Beneficiarului, orice document necesar întocmirii rapoartelor de audit care condiționează cererea de rambursare, fără cost suplimentar. Întârzierea imputabilă Furnizorului care produce respingerea sau amânarea cererii de rambursare atrage aplicarea art. 23.2.</w:t>
      </w:r>
    </w:p>
    <w:p>
      <w:pPr>
        <w:pStyle w:val="BodyText"/>
        <w:rPr/>
      </w:pPr>
      <w:r>
        <w:rPr>
          <w:b/>
          <w:bCs/>
        </w:rPr>
        <w:t>24.2.</w:t>
      </w:r>
      <w:r>
        <w:rPr/>
        <w:t xml:space="preserve"> Furnizorul păstrează documentele care constituie pistă de audit timp de </w:t>
      </w:r>
      <w:r>
        <w:rPr>
          <w:b/>
          <w:bCs/>
        </w:rPr>
        <w:t>10 ani</w:t>
      </w:r>
      <w:r>
        <w:rPr/>
        <w:t xml:space="preserve"> de la Recepția Finală și le pune la dispoziția Beneficiarului la cerere.</w:t>
      </w:r>
      <w:bookmarkEnd w:id="31"/>
    </w:p>
    <w:p>
      <w:pPr>
        <w:pStyle w:val="Heading3"/>
        <w:rPr/>
      </w:pPr>
      <w:bookmarkStart w:id="32" w:name="Xadf76d73bc30ce2c70fc9f17d1104bde6579d06"/>
      <w:r>
        <w:rPr/>
        <w:t>Art. 25 — Confidențialitate și proprietate intelectuală</w:t>
      </w:r>
    </w:p>
    <w:p>
      <w:pPr>
        <w:pStyle w:val="FirstParagraph"/>
        <w:rPr/>
      </w:pPr>
      <w:r>
        <w:rPr>
          <w:b/>
          <w:bCs/>
        </w:rPr>
        <w:t>25.1.</w:t>
      </w:r>
      <w:r>
        <w:rPr/>
        <w:t xml:space="preserve"> Părțile păstrează confidențialitatea informațiilor tehnice, comerciale și financiare schimbate, pe durata Contractului și timp de 3 ani de la încetare. Obligația nu se opune transmiterii de informații către Ministerul Energiei, organismele de audit, instanțe, </w:t>
      </w:r>
      <w:r>
        <w:rPr>
          <w:b/>
          <w:bCs/>
        </w:rPr>
        <w:t>finanțatorii Beneficiarului și consultanții, auditorii și experții contractați de acesta</w:t>
      </w:r>
      <w:r>
        <w:rPr/>
        <w:t>, sub o obligație de confidențialitate echivalentă, și nici publicărilor impuse de Îndrumarul metodologic.</w:t>
      </w:r>
    </w:p>
    <w:p>
      <w:pPr>
        <w:pStyle w:val="BodyText"/>
        <w:rPr/>
      </w:pPr>
      <w:r>
        <w:rPr>
          <w:b/>
          <w:bCs/>
        </w:rPr>
        <w:t>25.2.</w:t>
      </w:r>
      <w:r>
        <w:rPr/>
        <w:t xml:space="preserve"> Documentația tehnică elaborată de Furnizor rămâne proprietatea sa intelectuală. Beneficiarul are drept de utilizare </w:t>
      </w:r>
      <w:r>
        <w:rPr>
          <w:b/>
          <w:bCs/>
        </w:rPr>
        <w:t>perpetuu, neexclusiv, transferabil și cu drept de sublicențiere</w:t>
      </w:r>
      <w:r>
        <w:rPr/>
        <w:t xml:space="preserve">, pentru obiectul Contractului, pentru operarea, mentenanța, repararea, modificarea și extinderea ulterioară a Lucrărilor, </w:t>
      </w:r>
      <w:r>
        <w:rPr>
          <w:b/>
          <w:bCs/>
        </w:rPr>
        <w:t>inclusiv prin terți desemnați de Beneficiar</w:t>
      </w:r>
      <w:r>
        <w:rPr/>
        <w:t>.</w:t>
      </w:r>
    </w:p>
    <w:p>
      <w:pPr>
        <w:pStyle w:val="BodyText"/>
        <w:rPr/>
      </w:pPr>
      <w:r>
        <w:rPr>
          <w:b/>
          <w:bCs/>
        </w:rPr>
        <w:t>25.2¹. Software.</w:t>
      </w:r>
      <w:r>
        <w:rPr/>
        <w:t xml:space="preserve"> Pentru software-ul și firmware-ul sistemelor EMS, BMS și PPC și ale unității de conversie, inclusiv pentru actualizările furnizate în executarea Contractului, Furnizorul acordă sau procură Beneficiarului un </w:t>
      </w:r>
      <w:r>
        <w:rPr>
          <w:b/>
          <w:bCs/>
        </w:rPr>
        <w:t>drept de utilizare perpetuu, neexclusiv, fără redevențe suplimentare și transmisibil odată cu instalația</w:t>
      </w:r>
      <w:r>
        <w:rPr/>
        <w:t xml:space="preserve"> — inclusiv către un dobânditor al acesteia sau către un creditor care execută o garanție constituită asupra ei —, pentru operarea, mentenanța, repararea, modificarea și extinderea Lucrărilor. Dreptul nu poate fi revocat și nu poate fi condiționat de plata unor abonamente; serviciile opționale de platformă nu pot afecta funcționarea locală a instalației.</w:t>
      </w:r>
    </w:p>
    <w:p>
      <w:pPr>
        <w:pStyle w:val="BodyText"/>
        <w:rPr/>
      </w:pPr>
      <w:r>
        <w:rPr>
          <w:b/>
          <w:bCs/>
        </w:rPr>
        <w:t>25.3.</w:t>
      </w:r>
      <w:r>
        <w:rPr/>
        <w:t xml:space="preserve"> Datele operaționale generate de instalație, inclusiv jurnalele prevăzute la art. 13.8, </w:t>
      </w:r>
      <w:r>
        <w:rPr>
          <w:b/>
          <w:bCs/>
        </w:rPr>
        <w:t>sunt proprietatea Beneficiarului</w:t>
      </w:r>
      <w:r>
        <w:rPr/>
        <w:t>. Furnizorul le poate utiliza exclusiv pentru executarea obligațiilor sale contractuale și de garanție.</w:t>
      </w:r>
    </w:p>
    <w:p>
      <w:pPr>
        <w:pStyle w:val="BodyText"/>
        <w:rPr/>
      </w:pPr>
      <w:r>
        <w:rPr>
          <w:b/>
          <w:bCs/>
        </w:rPr>
        <w:t>25.4.</w:t>
      </w:r>
      <w:r>
        <w:rPr/>
        <w:t xml:space="preserve"> Furnizorul garantează că Lucrările și documentația nu încalcă drepturi de proprietate intelectuală ale terților și îl despăgubește pe Beneficiar pentru orice pretenție în acest sens.</w:t>
      </w:r>
      <w:bookmarkEnd w:id="32"/>
    </w:p>
    <w:p>
      <w:pPr>
        <w:pStyle w:val="Heading3"/>
        <w:rPr/>
      </w:pPr>
      <w:bookmarkStart w:id="33" w:name="art.-26-cesiune-și-subcontractare"/>
      <w:r>
        <w:rPr/>
        <w:t>Art. 26 — Cesiune și subcontractare</w:t>
      </w:r>
    </w:p>
    <w:p>
      <w:pPr>
        <w:pStyle w:val="FirstParagraph"/>
        <w:rPr/>
      </w:pPr>
      <w:r>
        <w:rPr>
          <w:b/>
          <w:bCs/>
        </w:rPr>
        <w:t>26.1.</w:t>
      </w:r>
      <w:r>
        <w:rPr/>
        <w:t xml:space="preserve"> Furnizorul poate subcontracta părți din Lucrări numai cu subcontractanții nominalizați în ofertă. Înlocuirea se face numai cu acceptul scris prealabil al Beneficiarului și nu poate conduce la modificarea propunerii tehnice sau financiare ori a avantajelor ofertei acceptate. Furnizorul răspunde integral pentru lucrările subcontractate.</w:t>
      </w:r>
    </w:p>
    <w:p>
      <w:pPr>
        <w:pStyle w:val="BodyText"/>
        <w:rPr/>
      </w:pPr>
      <w:r>
        <w:rPr>
          <w:b/>
          <w:bCs/>
        </w:rPr>
        <w:t>26.2.</w:t>
      </w:r>
      <w:r>
        <w:rPr/>
        <w:t xml:space="preserve"> Cesiunea drepturilor și obligațiilor Furnizorului se poate face numai cu acordul scris al Beneficiarului. </w:t>
      </w:r>
      <w:r>
        <w:rPr>
          <w:b/>
          <w:bCs/>
        </w:rPr>
        <w:t>Beneficiarul poate cesiona drepturile sale din prezentul Contract, inclusiv drepturile din garanțiile constituite în favoarea sa, unei instituții finanțatoare, cu simpla notificare a Furnizorului.</w:t>
      </w:r>
      <w:bookmarkEnd w:id="33"/>
    </w:p>
    <w:p>
      <w:pPr>
        <w:pStyle w:val="Heading3"/>
        <w:rPr/>
      </w:pPr>
      <w:bookmarkStart w:id="34" w:name="X287ee902e4b2ef0526aa15769eac4f900bc65da"/>
      <w:r>
        <w:rPr/>
        <w:t>Art. 27 — Litigii, comunicări și dispoziții finale</w:t>
      </w:r>
    </w:p>
    <w:p>
      <w:pPr>
        <w:pStyle w:val="FirstParagraph"/>
        <w:rPr/>
      </w:pPr>
      <w:r>
        <w:rPr>
          <w:b/>
          <w:bCs/>
        </w:rPr>
        <w:t>27.1.</w:t>
      </w:r>
      <w:r>
        <w:rPr/>
        <w:t xml:space="preserve"> Neînțelegerile se rezolvă pe cale amiabilă, în maximum 30 de zile de la notificarea scrisă. </w:t>
      </w:r>
      <w:r>
        <w:rPr>
          <w:b/>
          <w:bCs/>
        </w:rPr>
        <w:t>Pe durata negocierilor și a oricărei proceduri litigioase, Furnizorul continuă executarea Lucrărilor.</w:t>
      </w:r>
    </w:p>
    <w:p>
      <w:pPr>
        <w:pStyle w:val="BodyText"/>
        <w:rPr/>
      </w:pPr>
      <w:r>
        <w:rPr>
          <w:b/>
          <w:bCs/>
        </w:rPr>
        <w:t>27.2.</w:t>
      </w:r>
      <w:r>
        <w:rPr/>
        <w:t xml:space="preserve"> În lipsa unei soluții amiabile, litigiile se soluționează de instanțele judecătorești competente din municipiul București / sediul Beneficiarului. Legea aplicabilă este legea română. Limba contractului și a procedurii este româna.</w:t>
      </w:r>
    </w:p>
    <w:p>
      <w:pPr>
        <w:pStyle w:val="BodyText"/>
        <w:rPr/>
      </w:pPr>
      <w:r>
        <w:rPr>
          <w:b/>
          <w:bCs/>
        </w:rPr>
        <w:t>27.3.</w:t>
      </w:r>
      <w:r>
        <w:rPr/>
        <w:t xml:space="preserve"> Toate comunicările se fac în scris, prin e-mail cu confirmare de primire, prin curier sau prin poștă cu confirmare de primire, la adresele indicate în preambul.</w:t>
      </w:r>
    </w:p>
    <w:p>
      <w:pPr>
        <w:pStyle w:val="BodyText"/>
        <w:rPr/>
      </w:pPr>
      <w:r>
        <w:rPr>
          <w:b/>
          <w:bCs/>
        </w:rPr>
        <w:t>27.4.</w:t>
      </w:r>
      <w:r>
        <w:rPr/>
        <w:t xml:space="preserve"> Nulitatea unei clauze nu afectează validitatea celorlalte. Clauzele de la art. 12.6, 13.3¹, 13.3², 13.7, 13.8, 20, 21, 22, 23, 24 și 25 supraviețuiesc încetării Contractului.</w:t>
      </w:r>
    </w:p>
    <w:p>
      <w:pPr>
        <w:pStyle w:val="BodyText"/>
        <w:rPr/>
      </w:pPr>
      <w:r>
        <w:rPr>
          <w:b/>
          <w:bCs/>
        </w:rPr>
        <w:t>27.5.</w:t>
      </w:r>
      <w:r>
        <w:rPr/>
        <w:t xml:space="preserve"> Prezentul Contract a fost încheiat în două exemplare originale, câte unul pentru fiecare Parte.</w:t>
      </w:r>
    </w:p>
    <w:p>
      <w:pPr>
        <w:pStyle w:val="BodyText"/>
        <w:rPr/>
      </w:pPr>
      <w:r>
        <w:rPr>
          <w:b/>
          <w:bCs/>
        </w:rPr>
        <w:t>ACHIZITOR</w:t>
      </w:r>
      <w:r>
        <w:rPr/>
        <w:t xml:space="preserve"> S.C. DFG Active Imobiliare S.R.L. prin reprezentant legal ………………………………….</w:t>
      </w:r>
    </w:p>
    <w:p>
      <w:pPr>
        <w:pStyle w:val="BodyText"/>
        <w:rPr/>
      </w:pPr>
      <w:r>
        <w:rPr>
          <w:b/>
          <w:bCs/>
        </w:rPr>
        <w:t>FURNIZOR</w:t>
      </w:r>
      <w:r>
        <w:rPr/>
        <w:t xml:space="preserve"> …………………………………. prin reprezentant legal ………………………………….</w:t>
      </w:r>
    </w:p>
    <w:p>
      <w:pPr>
        <w:pStyle w:val="Normal"/>
        <w:widowControl/>
        <w:suppressAutoHyphens w:val="true"/>
        <w:bidi w:val="0"/>
        <w:spacing w:before="0" w:after="200"/>
        <w:jc w:val="left"/>
        <w:rPr/>
      </w:pPr>
      <w:r>
        <w:rPr/>
        <mc:AlternateContent>
          <mc:Choice Requires="wps">
            <w:drawing>
              <wp:inline distT="0" distB="0" distL="0" distR="0">
                <wp:extent cx="5972810" cy="19050"/>
                <wp:effectExtent l="0" t="0" r="0" b="0"/>
                <wp:docPr id="1" name=""/>
                <a:graphic xmlns:a="http://schemas.openxmlformats.org/drawingml/2006/main">
                  <a:graphicData uri="http://schemas.microsoft.com/office/word/2010/wordprocessingShape">
                    <wps:wsp>
                      <wps:cNvSpPr/>
                      <wps:nvSpPr>
                        <wps:cNvPr id="2" name=""/>
                        <wps:cNvSpPr/>
                      </wps:nvSpPr>
                      <wps:spPr>
                        <a:xfrm>
                          <a:off x="0" y="0"/>
                          <a:ext cx="597276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70.25pt;height:1.45pt;mso-wrap-style:none;v-text-anchor:middle;mso-position-horizontal:center;mso-position-vertical:top">
                <v:fill o:detectmouseclick="t" type="solid" color2="black"/>
                <v:stroke color="black" joinstyle="round" endcap="flat"/>
                <w10:wrap type="topAndBottom"/>
              </v:rect>
            </w:pict>
          </mc:Fallback>
        </mc:AlternateContent>
      </w:r>
      <w:bookmarkEnd w:id="0"/>
      <w:bookmarkEnd w:id="30"/>
      <w:bookmarkEnd w:id="34"/>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059" w:gutter="0" w:header="546" w:top="2078" w:footer="330" w:bottom="118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swiss"/>
    <w:pitch w:val="default"/>
  </w:font>
  <w:font w:name="Noto Sans">
    <w:charset w:val="01"/>
    <w:family w:val="swiss"/>
    <w:pitch w:val="default"/>
  </w:font>
  <w:font w:name="Aptos Display">
    <w:charset w:val="01"/>
    <w:family w:val="swiss"/>
    <w:pitch w:val="default"/>
  </w:font>
  <w:font w:name="Consolas">
    <w:charset w:val="01"/>
    <w:family w:val="swiss"/>
    <w:pitch w:val="default"/>
  </w:font>
  <w:font w:name="Liberation Sans">
    <w:altName w:val="Arial"/>
    <w:charset w:val="01"/>
    <w:family w:val="swiss"/>
    <w:pitch w:val="default"/>
  </w:font>
  <w:font w:name="Arial">
    <w:charset w:val="01"/>
    <w:family w:val="swiss"/>
    <w:pitch w:val="default"/>
  </w:font>
  <w:font w:name="Calibri">
    <w:charset w:val="01"/>
    <w:family w:val="swiss"/>
    <w:pitch w:val="default"/>
  </w:font>
  <w:font w:name="Source Sans 3">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tabs>
        <w:tab w:val="clear" w:pos="4513"/>
      </w:tabs>
      <w:suppressAutoHyphens w:val="true"/>
      <w:bidi w:val="0"/>
      <w:spacing w:before="0" w:after="0"/>
      <w:ind w:firstLine="907" w:left="0" w:right="0"/>
      <w:jc w:val="center"/>
      <w:rPr>
        <w:rFonts w:ascii="Source Sans 3" w:hAnsi="Source Sans 3"/>
        <w:sz w:val="20"/>
      </w:rPr>
    </w:pPr>
    <w:r>
      <w:drawing>
        <wp:anchor distT="0" distB="0" distL="114300" distR="114300" simplePos="0" relativeHeight="89" behindDoc="0" locked="0" layoutInCell="0" allowOverlap="1">
          <wp:simplePos x="0" y="0"/>
          <wp:positionH relativeFrom="column">
            <wp:posOffset>0</wp:posOffset>
          </wp:positionH>
          <wp:positionV relativeFrom="paragraph">
            <wp:posOffset>13970</wp:posOffset>
          </wp:positionV>
          <wp:extent cx="1985010" cy="459740"/>
          <wp:effectExtent l="0" t="0" r="0" b="0"/>
          <wp:wrapThrough wrapText="bothSides">
            <wp:wrapPolygon edited="0">
              <wp:start x="-1240" y="0"/>
              <wp:lineTo x="-1240" y="20890"/>
              <wp:lineTo x="21323" y="20890"/>
              <wp:lineTo x="21323" y="0"/>
              <wp:lineTo x="-1240" y="0"/>
            </wp:wrapPolygon>
          </wp:wrapThrough>
          <wp:docPr id="9" name="Picture 7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Copy 1"/>
                  <pic:cNvPicPr>
                    <a:picLocks noChangeAspect="1" noChangeArrowheads="1"/>
                  </pic:cNvPicPr>
                </pic:nvPicPr>
                <pic:blipFill>
                  <a:blip r:embed="rId1"/>
                  <a:stretch>
                    <a:fillRect/>
                  </a:stretch>
                </pic:blipFill>
                <pic:spPr bwMode="auto">
                  <a:xfrm>
                    <a:off x="0" y="0"/>
                    <a:ext cx="1985010" cy="459740"/>
                  </a:xfrm>
                  <a:prstGeom prst="rect">
                    <a:avLst/>
                  </a:prstGeom>
                  <a:noFill/>
                </pic:spPr>
              </pic:pic>
            </a:graphicData>
          </a:graphic>
        </wp:anchor>
      </w:drawing>
    </w:r>
    <w:r>
      <w:rPr>
        <w:rFonts w:ascii="Source Sans 3" w:hAnsi="Source Sans 3"/>
        <w:sz w:val="20"/>
      </w:rPr>
      <w:t xml:space="preserve">pag. </w:t>
    </w:r>
    <w:bookmarkStart w:id="35" w:name="PageNumWizard_FOOTER_Default_Page_Style1"/>
    <w:r>
      <w:rPr>
        <w:rFonts w:ascii="Source Sans 3" w:hAnsi="Source Sans 3"/>
        <w:sz w:val="20"/>
      </w:rPr>
      <w:fldChar w:fldCharType="begin"/>
    </w:r>
    <w:r>
      <w:rPr>
        <w:rFonts w:ascii="Source Sans 3" w:hAnsi="Source Sans 3"/>
        <w:sz w:val="20"/>
      </w:rPr>
      <w:instrText xml:space="preserve"> PAGE </w:instrText>
    </w:r>
    <w:r>
      <w:rPr>
        <w:rFonts w:ascii="Source Sans 3" w:hAnsi="Source Sans 3"/>
        <w:sz w:val="20"/>
      </w:rPr>
      <w:fldChar w:fldCharType="separate"/>
    </w:r>
    <w:r>
      <w:rPr>
        <w:rFonts w:ascii="Source Sans 3" w:hAnsi="Source Sans 3"/>
        <w:sz w:val="20"/>
      </w:rPr>
      <w:t>22</w:t>
    </w:r>
    <w:r>
      <w:rPr>
        <w:rFonts w:ascii="Source Sans 3" w:hAnsi="Source Sans 3"/>
        <w:sz w:val="20"/>
      </w:rPr>
      <w:fldChar w:fldCharType="end"/>
    </w:r>
    <w:r>
      <w:rPr>
        <w:rFonts w:ascii="Source Sans 3" w:hAnsi="Source Sans 3"/>
        <w:sz w:val="20"/>
      </w:rPr>
      <w:t xml:space="preserve">  din  </w:t>
    </w:r>
    <w:r>
      <w:rPr>
        <w:rFonts w:ascii="Source Sans 3" w:hAnsi="Source Sans 3"/>
        <w:sz w:val="20"/>
      </w:rPr>
      <w:fldChar w:fldCharType="begin"/>
    </w:r>
    <w:r>
      <w:rPr>
        <w:rFonts w:ascii="Source Sans 3" w:hAnsi="Source Sans 3"/>
        <w:sz w:val="20"/>
      </w:rPr>
      <w:instrText xml:space="preserve"> NUMPAGES </w:instrText>
    </w:r>
    <w:r>
      <w:rPr>
        <w:rFonts w:ascii="Source Sans 3" w:hAnsi="Source Sans 3"/>
        <w:sz w:val="20"/>
      </w:rPr>
      <w:fldChar w:fldCharType="separate"/>
    </w:r>
    <w:r>
      <w:rPr>
        <w:rFonts w:ascii="Source Sans 3" w:hAnsi="Source Sans 3"/>
        <w:sz w:val="20"/>
      </w:rPr>
      <w:t>22</w:t>
    </w:r>
    <w:r>
      <w:rPr>
        <w:rFonts w:ascii="Source Sans 3" w:hAnsi="Source Sans 3"/>
        <w:sz w:val="20"/>
      </w:rPr>
      <w:fldChar w:fldCharType="end"/>
    </w:r>
    <w:bookmarkEnd w:id="35"/>
  </w:p>
  <w:p>
    <w:pPr>
      <w:pStyle w:val="Footer"/>
      <w:spacing w:before="0" w:after="0"/>
      <w:jc w:val="right"/>
      <w:rPr>
        <w:rFonts w:ascii="Source Sans 3" w:hAnsi="Source Sans 3"/>
        <w:sz w:val="20"/>
      </w:rPr>
    </w:pPr>
    <w:r>
      <w:rPr>
        <w:rFonts w:ascii="Source Sans 3" w:hAnsi="Source Sans 3"/>
        <w:sz w:val="20"/>
      </w:rPr>
    </w:r>
  </w:p>
  <w:p>
    <w:pPr>
      <w:pStyle w:val="Footer"/>
      <w:rPr/>
    </w:pPr>
    <w:r>
      <w:rPr>
        <w:rFonts w:eastAsia="Trebuchet MS" w:cs="Aptos" w:ascii="Aptos" w:hAnsi="Aptos" w:asciiTheme="minorHAnsi" w:cstheme="minorHAnsi" w:hAnsiTheme="minorHAnsi"/>
        <w:b/>
        <w:bCs/>
        <w:color w:val="231F20"/>
        <w:sz w:val="21"/>
        <w:szCs w:val="24"/>
        <w:lang w:val="ro-RO"/>
      </w:rPr>
      <w:t xml:space="preserve"> </w:t>
    </w:r>
    <w:r>
      <w:rPr>
        <w:rFonts w:eastAsia="Trebuchet MS" w:cs="Aptos" w:ascii="Aptos" w:hAnsi="Aptos" w:asciiTheme="minorHAnsi" w:cstheme="minorHAnsi" w:hAnsiTheme="minorHAnsi"/>
        <w:b/>
        <w:bCs/>
        <w:color w:val="231F20"/>
        <w:sz w:val="21"/>
        <w:szCs w:val="24"/>
        <w:lang w:val="ro-RO"/>
      </w:rPr>
      <w:t>Finanțat prin Fondul pentru Modernizare</w:t>
    </w:r>
    <w:r>
      <w:rPr>
        <w:rFonts w:eastAsia="Trebuchet MS" w:cs="Aptos" w:ascii="Aptos" w:hAnsi="Aptos" w:asciiTheme="minorHAnsi" w:cstheme="minorHAnsi" w:hAnsiTheme="minorHAnsi"/>
        <w:b/>
        <w:bCs/>
        <w:color w:val="231F20"/>
        <w:sz w:val="24"/>
        <w:szCs w:val="24"/>
        <w:lang w:val="ro-RO"/>
      </w:rPr>
      <w:t xml:space="preserve">                       </w:t>
    </w:r>
    <w:r>
      <w:rPr>
        <w:rFonts w:ascii="Source Sans 3" w:hAnsi="Source Sans 3"/>
        <w:sz w:val="20"/>
      </w:rPr>
      <w: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tabs>
        <w:tab w:val="clear" w:pos="4513"/>
      </w:tabs>
      <w:suppressAutoHyphens w:val="true"/>
      <w:bidi w:val="0"/>
      <w:spacing w:before="0" w:after="0"/>
      <w:ind w:firstLine="907" w:left="0" w:right="0"/>
      <w:jc w:val="center"/>
      <w:rPr>
        <w:rFonts w:ascii="Source Sans 3" w:hAnsi="Source Sans 3"/>
        <w:sz w:val="20"/>
      </w:rPr>
    </w:pPr>
    <w:r>
      <w:drawing>
        <wp:anchor distT="0" distB="0" distL="114300" distR="114300" simplePos="0" relativeHeight="89" behindDoc="0" locked="0" layoutInCell="0" allowOverlap="1">
          <wp:simplePos x="0" y="0"/>
          <wp:positionH relativeFrom="column">
            <wp:posOffset>0</wp:posOffset>
          </wp:positionH>
          <wp:positionV relativeFrom="paragraph">
            <wp:posOffset>13970</wp:posOffset>
          </wp:positionV>
          <wp:extent cx="1985010" cy="459740"/>
          <wp:effectExtent l="0" t="0" r="0" b="0"/>
          <wp:wrapThrough wrapText="bothSides">
            <wp:wrapPolygon edited="0">
              <wp:start x="-1240" y="0"/>
              <wp:lineTo x="-1240" y="20890"/>
              <wp:lineTo x="21323" y="20890"/>
              <wp:lineTo x="21323" y="0"/>
              <wp:lineTo x="-1240" y="0"/>
            </wp:wrapPolygon>
          </wp:wrapThrough>
          <wp:docPr id="10" name="Picture 7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Copy 1"/>
                  <pic:cNvPicPr>
                    <a:picLocks noChangeAspect="1" noChangeArrowheads="1"/>
                  </pic:cNvPicPr>
                </pic:nvPicPr>
                <pic:blipFill>
                  <a:blip r:embed="rId1"/>
                  <a:stretch>
                    <a:fillRect/>
                  </a:stretch>
                </pic:blipFill>
                <pic:spPr bwMode="auto">
                  <a:xfrm>
                    <a:off x="0" y="0"/>
                    <a:ext cx="1985010" cy="459740"/>
                  </a:xfrm>
                  <a:prstGeom prst="rect">
                    <a:avLst/>
                  </a:prstGeom>
                  <a:noFill/>
                </pic:spPr>
              </pic:pic>
            </a:graphicData>
          </a:graphic>
        </wp:anchor>
      </w:drawing>
    </w:r>
    <w:r>
      <w:rPr>
        <w:rFonts w:ascii="Source Sans 3" w:hAnsi="Source Sans 3"/>
        <w:sz w:val="20"/>
      </w:rPr>
      <w:t xml:space="preserve">pag. </w:t>
    </w:r>
    <w:bookmarkStart w:id="36" w:name="PageNumWizard_FOOTER_Default_Page_Style1"/>
    <w:r>
      <w:rPr>
        <w:rFonts w:ascii="Source Sans 3" w:hAnsi="Source Sans 3"/>
        <w:sz w:val="20"/>
      </w:rPr>
      <w:fldChar w:fldCharType="begin"/>
    </w:r>
    <w:r>
      <w:rPr>
        <w:rFonts w:ascii="Source Sans 3" w:hAnsi="Source Sans 3"/>
        <w:sz w:val="20"/>
      </w:rPr>
      <w:instrText xml:space="preserve"> PAGE </w:instrText>
    </w:r>
    <w:r>
      <w:rPr>
        <w:rFonts w:ascii="Source Sans 3" w:hAnsi="Source Sans 3"/>
        <w:sz w:val="20"/>
      </w:rPr>
      <w:fldChar w:fldCharType="separate"/>
    </w:r>
    <w:r>
      <w:rPr>
        <w:rFonts w:ascii="Source Sans 3" w:hAnsi="Source Sans 3"/>
        <w:sz w:val="20"/>
      </w:rPr>
      <w:t>22</w:t>
    </w:r>
    <w:r>
      <w:rPr>
        <w:rFonts w:ascii="Source Sans 3" w:hAnsi="Source Sans 3"/>
        <w:sz w:val="20"/>
      </w:rPr>
      <w:fldChar w:fldCharType="end"/>
    </w:r>
    <w:r>
      <w:rPr>
        <w:rFonts w:ascii="Source Sans 3" w:hAnsi="Source Sans 3"/>
        <w:sz w:val="20"/>
      </w:rPr>
      <w:t xml:space="preserve">  din  </w:t>
    </w:r>
    <w:r>
      <w:rPr>
        <w:rFonts w:ascii="Source Sans 3" w:hAnsi="Source Sans 3"/>
        <w:sz w:val="20"/>
      </w:rPr>
      <w:fldChar w:fldCharType="begin"/>
    </w:r>
    <w:r>
      <w:rPr>
        <w:rFonts w:ascii="Source Sans 3" w:hAnsi="Source Sans 3"/>
        <w:sz w:val="20"/>
      </w:rPr>
      <w:instrText xml:space="preserve"> NUMPAGES </w:instrText>
    </w:r>
    <w:r>
      <w:rPr>
        <w:rFonts w:ascii="Source Sans 3" w:hAnsi="Source Sans 3"/>
        <w:sz w:val="20"/>
      </w:rPr>
      <w:fldChar w:fldCharType="separate"/>
    </w:r>
    <w:r>
      <w:rPr>
        <w:rFonts w:ascii="Source Sans 3" w:hAnsi="Source Sans 3"/>
        <w:sz w:val="20"/>
      </w:rPr>
      <w:t>22</w:t>
    </w:r>
    <w:r>
      <w:rPr>
        <w:rFonts w:ascii="Source Sans 3" w:hAnsi="Source Sans 3"/>
        <w:sz w:val="20"/>
      </w:rPr>
      <w:fldChar w:fldCharType="end"/>
    </w:r>
    <w:bookmarkEnd w:id="36"/>
  </w:p>
  <w:p>
    <w:pPr>
      <w:pStyle w:val="Footer"/>
      <w:spacing w:before="0" w:after="0"/>
      <w:jc w:val="right"/>
      <w:rPr>
        <w:rFonts w:ascii="Source Sans 3" w:hAnsi="Source Sans 3"/>
        <w:sz w:val="20"/>
      </w:rPr>
    </w:pPr>
    <w:r>
      <w:rPr>
        <w:rFonts w:ascii="Source Sans 3" w:hAnsi="Source Sans 3"/>
        <w:sz w:val="20"/>
      </w:rPr>
    </w:r>
  </w:p>
  <w:p>
    <w:pPr>
      <w:pStyle w:val="Footer"/>
      <w:rPr/>
    </w:pPr>
    <w:r>
      <w:rPr>
        <w:rFonts w:eastAsia="Trebuchet MS" w:cs="Aptos" w:ascii="Aptos" w:hAnsi="Aptos" w:asciiTheme="minorHAnsi" w:cstheme="minorHAnsi" w:hAnsiTheme="minorHAnsi"/>
        <w:b/>
        <w:bCs/>
        <w:color w:val="231F20"/>
        <w:sz w:val="21"/>
        <w:szCs w:val="24"/>
        <w:lang w:val="ro-RO"/>
      </w:rPr>
      <w:t xml:space="preserve"> </w:t>
    </w:r>
    <w:r>
      <w:rPr>
        <w:rFonts w:eastAsia="Trebuchet MS" w:cs="Aptos" w:ascii="Aptos" w:hAnsi="Aptos" w:asciiTheme="minorHAnsi" w:cstheme="minorHAnsi" w:hAnsiTheme="minorHAnsi"/>
        <w:b/>
        <w:bCs/>
        <w:color w:val="231F20"/>
        <w:sz w:val="21"/>
        <w:szCs w:val="24"/>
        <w:lang w:val="ro-RO"/>
      </w:rPr>
      <w:t>Finanțat prin Fondul pentru Modernizare</w:t>
    </w:r>
    <w:r>
      <w:rPr>
        <w:rFonts w:eastAsia="Trebuchet MS" w:cs="Aptos" w:ascii="Aptos" w:hAnsi="Aptos" w:asciiTheme="minorHAnsi" w:cstheme="minorHAnsi" w:hAnsiTheme="minorHAnsi"/>
        <w:b/>
        <w:bCs/>
        <w:color w:val="231F20"/>
        <w:sz w:val="24"/>
        <w:szCs w:val="24"/>
        <w:lang w:val="ro-RO"/>
      </w:rPr>
      <w:t xml:space="preserve">                       </w:t>
    </w:r>
    <w:r>
      <w:rPr>
        <w:rFonts w:ascii="Source Sans 3" w:hAnsi="Source Sans 3"/>
        <w:sz w:val="20"/>
      </w:rPr>
      <w: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pPr>
    <w:r>
      <w:rPr/>
      <w:drawing>
        <wp:inline distT="0" distB="0" distL="0" distR="0">
          <wp:extent cx="1470660" cy="42608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
                  <a:stretch>
                    <a:fillRect/>
                  </a:stretch>
                </pic:blipFill>
                <pic:spPr bwMode="auto">
                  <a:xfrm>
                    <a:off x="0" y="0"/>
                    <a:ext cx="1470660" cy="426085"/>
                  </a:xfrm>
                  <a:prstGeom prst="rect">
                    <a:avLst/>
                  </a:prstGeom>
                  <a:noFill/>
                </pic:spPr>
              </pic:pic>
            </a:graphicData>
          </a:graphic>
        </wp:inline>
      </w:drawing>
    </w:r>
    <w:r>
      <w:rPr/>
      <w:t xml:space="preserve">         </w:t>
    </w:r>
    <w:r>
      <w:rPr/>
      <w:drawing>
        <wp:inline distT="0" distB="0" distL="0" distR="0">
          <wp:extent cx="3169920" cy="501015"/>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a:blip r:embed="rId2"/>
                  <a:stretch>
                    <a:fillRect/>
                  </a:stretch>
                </pic:blipFill>
                <pic:spPr bwMode="auto">
                  <a:xfrm>
                    <a:off x="0" y="0"/>
                    <a:ext cx="3169920" cy="501015"/>
                  </a:xfrm>
                  <a:prstGeom prst="rect">
                    <a:avLst/>
                  </a:prstGeom>
                  <a:noFill/>
                </pic:spPr>
              </pic:pic>
            </a:graphicData>
          </a:graphic>
        </wp:inline>
      </w:drawing>
    </w:r>
    <w:r>
      <w:rPr/>
      <w:t xml:space="preserve">          </w:t>
    </w:r>
    <w:r>
      <w:rPr/>
      <w:drawing>
        <wp:inline distT="0" distB="0" distL="0" distR="0">
          <wp:extent cx="571500" cy="563880"/>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pic:cNvPicPr>
                    <a:picLocks noChangeAspect="1" noChangeArrowheads="1"/>
                  </pic:cNvPicPr>
                </pic:nvPicPr>
                <pic:blipFill>
                  <a:blip r:embed="rId3"/>
                  <a:stretch>
                    <a:fillRect/>
                  </a:stretch>
                </pic:blipFill>
                <pic:spPr bwMode="auto">
                  <a:xfrm>
                    <a:off x="0" y="0"/>
                    <a:ext cx="571500" cy="563880"/>
                  </a:xfrm>
                  <a:prstGeom prst="rect">
                    <a:avLst/>
                  </a:prstGeom>
                  <a:noFill/>
                </pic:spPr>
              </pic:pic>
            </a:graphicData>
          </a:graphic>
        </wp:inline>
      </w:drawing>
    </w:r>
  </w:p>
  <w:p>
    <w:pPr>
      <w:pStyle w:val="Header"/>
      <w:spacing w:before="57" w:after="0"/>
      <w:jc w:val="center"/>
      <w:rPr/>
    </w:pPr>
    <w:hyperlink r:id="rId4">
      <w:r>
        <w:rPr>
          <w:rStyle w:val="Hyperlink"/>
          <w:rFonts w:ascii="Noto Sans" w:hAnsi="Noto Sans"/>
          <w:sz w:val="21"/>
        </w:rPr>
        <w:t>https://modernisationfund.eu/</w:t>
      </w:r>
    </w:hyperlink>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pPr>
    <w:r>
      <w:rPr/>
      <w:drawing>
        <wp:inline distT="0" distB="0" distL="0" distR="0">
          <wp:extent cx="1470660" cy="42608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
                  <a:stretch>
                    <a:fillRect/>
                  </a:stretch>
                </pic:blipFill>
                <pic:spPr bwMode="auto">
                  <a:xfrm>
                    <a:off x="0" y="0"/>
                    <a:ext cx="1470660" cy="426085"/>
                  </a:xfrm>
                  <a:prstGeom prst="rect">
                    <a:avLst/>
                  </a:prstGeom>
                  <a:noFill/>
                </pic:spPr>
              </pic:pic>
            </a:graphicData>
          </a:graphic>
        </wp:inline>
      </w:drawing>
    </w:r>
    <w:r>
      <w:rPr/>
      <w:t xml:space="preserve">         </w:t>
    </w:r>
    <w:r>
      <w:rPr/>
      <w:drawing>
        <wp:inline distT="0" distB="0" distL="0" distR="0">
          <wp:extent cx="3169920" cy="501015"/>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r:embed="rId2"/>
                  <a:stretch>
                    <a:fillRect/>
                  </a:stretch>
                </pic:blipFill>
                <pic:spPr bwMode="auto">
                  <a:xfrm>
                    <a:off x="0" y="0"/>
                    <a:ext cx="3169920" cy="501015"/>
                  </a:xfrm>
                  <a:prstGeom prst="rect">
                    <a:avLst/>
                  </a:prstGeom>
                  <a:noFill/>
                </pic:spPr>
              </pic:pic>
            </a:graphicData>
          </a:graphic>
        </wp:inline>
      </w:drawing>
    </w:r>
    <w:r>
      <w:rPr/>
      <w:t xml:space="preserve">          </w:t>
    </w:r>
    <w:r>
      <w:rPr/>
      <w:drawing>
        <wp:inline distT="0" distB="0" distL="0" distR="0">
          <wp:extent cx="571500" cy="563880"/>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3"/>
                  <a:stretch>
                    <a:fillRect/>
                  </a:stretch>
                </pic:blipFill>
                <pic:spPr bwMode="auto">
                  <a:xfrm>
                    <a:off x="0" y="0"/>
                    <a:ext cx="571500" cy="563880"/>
                  </a:xfrm>
                  <a:prstGeom prst="rect">
                    <a:avLst/>
                  </a:prstGeom>
                  <a:noFill/>
                </pic:spPr>
              </pic:pic>
            </a:graphicData>
          </a:graphic>
        </wp:inline>
      </w:drawing>
    </w:r>
  </w:p>
  <w:p>
    <w:pPr>
      <w:pStyle w:val="Header"/>
      <w:spacing w:before="57" w:after="0"/>
      <w:jc w:val="center"/>
      <w:rPr/>
    </w:pPr>
    <w:hyperlink r:id="rId4">
      <w:r>
        <w:rPr>
          <w:rStyle w:val="Hyperlink"/>
          <w:rFonts w:ascii="Noto Sans" w:hAnsi="Noto Sans"/>
          <w:sz w:val="21"/>
        </w:rPr>
        <w:t>https://modernisationfund.eu/</w:t>
      </w:r>
    </w:hyperlink>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4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sz w:val="24"/>
        <w:szCs w:val="24"/>
        <w:lang w:val="en-US" w:eastAsia="zh-CN"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suppressAutoHyphens w:val="true"/>
      <w:bidi w:val="0"/>
      <w:spacing w:before="0" w:after="200"/>
      <w:jc w:val="left"/>
    </w:pPr>
    <w:rPr>
      <w:rFonts w:ascii="Aptos" w:hAnsi="Aptos" w:eastAsia="" w:cs="" w:asciiTheme="minorHAnsi" w:cstheme="minorBidi" w:eastAsiaTheme="minorEastAsia" w:hAnsiTheme="minorHAnsi"/>
      <w:color w:val="auto"/>
      <w:kern w:val="0"/>
      <w:sz w:val="24"/>
      <w:szCs w:val="24"/>
      <w:lang w:val="en-US" w:eastAsia="zh-CN" w:bidi="ar-SA"/>
    </w:rPr>
  </w:style>
  <w:style w:type="paragraph" w:styleId="Heading1">
    <w:name w:val="heading 1"/>
    <w:basedOn w:val="Normal"/>
    <w:next w:val="BodyText"/>
    <w:link w:val="Heading1Char"/>
    <w:uiPriority w:val="9"/>
    <w:qFormat/>
    <w:rsid w:val="00a10fd9"/>
    <w:pPr>
      <w:keepNext w:val="true"/>
      <w:keepLines/>
      <w:spacing w:before="113" w:after="113"/>
      <w:outlineLvl w:val="0"/>
    </w:pPr>
    <w:rPr>
      <w:rFonts w:ascii="Noto Sans" w:hAnsi="Noto Sans" w:eastAsia="" w:cs="" w:cstheme="majorBidi" w:eastAsiaTheme="majorEastAsia"/>
      <w:b/>
      <w:bCs/>
      <w:color w:val="auto"/>
      <w:sz w:val="32"/>
      <w:szCs w:val="40"/>
      <w:lang w:val="ro-RO"/>
    </w:rPr>
  </w:style>
  <w:style w:type="paragraph" w:styleId="Heading2">
    <w:name w:val="heading 2"/>
    <w:basedOn w:val="Normal"/>
    <w:next w:val="BodyText"/>
    <w:link w:val="Heading2Char"/>
    <w:uiPriority w:val="9"/>
    <w:semiHidden/>
    <w:unhideWhenUsed/>
    <w:qFormat/>
    <w:rsid w:val="00a10fd9"/>
    <w:pPr>
      <w:keepNext w:val="true"/>
      <w:keepLines/>
      <w:spacing w:before="227" w:after="113"/>
      <w:outlineLvl w:val="1"/>
    </w:pPr>
    <w:rPr>
      <w:rFonts w:ascii="Noto Sans" w:hAnsi="Noto Sans" w:eastAsia="" w:cs="" w:cstheme="majorBidi" w:eastAsiaTheme="majorEastAsia"/>
      <w:b/>
      <w:bCs/>
      <w:color w:val="auto"/>
      <w:sz w:val="30"/>
      <w:szCs w:val="32"/>
      <w:lang w:val="ro-RO"/>
    </w:rPr>
  </w:style>
  <w:style w:type="paragraph" w:styleId="Heading3">
    <w:name w:val="heading 3"/>
    <w:basedOn w:val="Normal"/>
    <w:next w:val="BodyText"/>
    <w:link w:val="Heading3Char"/>
    <w:uiPriority w:val="9"/>
    <w:semiHidden/>
    <w:unhideWhenUsed/>
    <w:qFormat/>
    <w:rsid w:val="00a10fd9"/>
    <w:pPr>
      <w:keepNext w:val="true"/>
      <w:keepLines/>
      <w:spacing w:before="198" w:after="85"/>
      <w:outlineLvl w:val="2"/>
    </w:pPr>
    <w:rPr>
      <w:rFonts w:ascii="Noto Sans" w:hAnsi="Noto Sans" w:eastAsia="" w:cs="" w:cstheme="majorBidi" w:eastAsiaTheme="majorEastAsia"/>
      <w:b/>
      <w:bCs/>
      <w:color w:val="auto"/>
      <w:sz w:val="26"/>
      <w:szCs w:val="28"/>
      <w:lang w:val="ro-RO"/>
    </w:rPr>
  </w:style>
  <w:style w:type="paragraph" w:styleId="Heading4">
    <w:name w:val="heading 4"/>
    <w:basedOn w:val="Normal"/>
    <w:next w:val="BodyText"/>
    <w:link w:val="Heading4Char"/>
    <w:uiPriority w:val="9"/>
    <w:semiHidden/>
    <w:unhideWhenUsed/>
    <w:qFormat/>
    <w:rsid w:val="00a10fd9"/>
    <w:pPr>
      <w:keepNext w:val="true"/>
      <w:keepLines/>
      <w:spacing w:before="142" w:after="57"/>
      <w:outlineLvl w:val="3"/>
    </w:pPr>
    <w:rPr>
      <w:rFonts w:ascii="Noto Sans" w:hAnsi="Noto Sans" w:eastAsia="" w:cs="" w:cstheme="majorBidi" w:eastAsiaTheme="majorEastAsia"/>
      <w:b/>
      <w:bCs/>
      <w:i w:val="false"/>
      <w:iCs/>
      <w:color w:val="auto"/>
      <w:sz w:val="22"/>
      <w:lang w:val="ro-RO"/>
    </w:rPr>
  </w:style>
  <w:style w:type="paragraph" w:styleId="Heading5">
    <w:name w:val="heading 5"/>
    <w:basedOn w:val="Normal"/>
    <w:next w:val="BodyText"/>
    <w:link w:val="Heading5Char"/>
    <w:uiPriority w:val="9"/>
    <w:semiHidden/>
    <w:unhideWhenUsed/>
    <w:qFormat/>
    <w:rsid w:val="00a10fd9"/>
    <w:pPr>
      <w:keepNext w:val="true"/>
      <w:keepLines/>
      <w:spacing w:before="113" w:after="57"/>
      <w:outlineLvl w:val="4"/>
    </w:pPr>
    <w:rPr>
      <w:rFonts w:ascii="Noto Sans" w:hAnsi="Noto Sans" w:eastAsia="" w:cs="" w:cstheme="majorBidi" w:eastAsiaTheme="majorEastAsia"/>
      <w:b/>
      <w:color w:val="auto"/>
      <w:sz w:val="21"/>
      <w:lang w:val="ro-RO"/>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link w:val="Subtitle"/>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link w:val="Heading1"/>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qFormat/>
    <w:rPr>
      <w:vertAlign w:val="superscript"/>
    </w:rPr>
  </w:style>
  <w:style w:type="character" w:styleId="FootnoteCharactersuser">
    <w:name w:val="Footnote Characters (use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EndnoteCharactersuser">
    <w:name w:val="Endnote Characters (user)"/>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Noto Sans" w:cs="Roboto"/>
      <w:sz w:val="28"/>
      <w:szCs w:val="28"/>
    </w:rPr>
  </w:style>
  <w:style w:type="paragraph" w:styleId="BodyText">
    <w:name w:val="Body Text"/>
    <w:basedOn w:val="Normal"/>
    <w:link w:val="BodyTextChar"/>
    <w:qFormat/>
    <w:pPr>
      <w:spacing w:before="68" w:after="79"/>
    </w:pPr>
    <w:rPr>
      <w:rFonts w:ascii="Noto Sans" w:hAnsi="Noto Sans"/>
      <w:sz w:val="20"/>
      <w:lang w:val="ro-RO"/>
    </w:rPr>
  </w:style>
  <w:style w:type="paragraph" w:styleId="List">
    <w:name w:val="List"/>
    <w:basedOn w:val="BodyText"/>
    <w:pPr/>
    <w:rPr>
      <w:rFonts w:ascii="Arial" w:hAnsi="Arial" w:cs="Roboto"/>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ascii="Calibri" w:hAnsi="Calibri" w:cs="Roboto"/>
    </w:rPr>
  </w:style>
  <w:style w:type="paragraph" w:styleId="FirstParagraph" w:customStyle="1">
    <w:name w:val="First Paragraph"/>
    <w:basedOn w:val="BodyText"/>
    <w:next w:val="BodyText"/>
    <w:qFormat/>
    <w:pPr>
      <w:spacing w:before="85" w:after="113"/>
    </w:pPr>
    <w:rPr>
      <w:rFonts w:ascii="Noto Sans" w:hAnsi="Noto Sans"/>
      <w:b w:val="false"/>
      <w:i w:val="false"/>
      <w:sz w:val="20"/>
      <w:lang w:val="ro-RO"/>
    </w:rPr>
  </w:style>
  <w:style w:type="paragraph" w:styleId="Compact" w:customStyle="1">
    <w:name w:val="Compact"/>
    <w:basedOn w:val="BodyText"/>
    <w:qFormat/>
    <w:pPr>
      <w:widowControl/>
      <w:suppressAutoHyphens w:val="true"/>
      <w:spacing w:before="0" w:after="0"/>
      <w:jc w:val="left"/>
    </w:pPr>
    <w:rPr>
      <w:rFonts w:ascii="Noto Sans" w:hAnsi="Noto Sans" w:eastAsia="" w:cs=""/>
      <w:kern w:val="0"/>
      <w:sz w:val="16"/>
      <w:szCs w:val="24"/>
      <w:lang w:val="ro-RO" w:eastAsia="zh-CN" w:bidi="ar-SA"/>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32"/>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2"/>
      <w:szCs w:val="24"/>
    </w:rPr>
  </w:style>
  <w:style w:type="paragraph" w:styleId="Date">
    <w:name w:val="Date"/>
    <w:basedOn w:val="Title"/>
    <w:next w:val="BodyText"/>
    <w:qFormat/>
    <w:pPr>
      <w:keepNext w:val="true"/>
      <w:keepLines/>
    </w:pPr>
    <w:rPr>
      <w:sz w:val="22"/>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z w:val="16"/>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sz w:val="16"/>
    </w:rPr>
  </w:style>
  <w:style w:type="paragraph" w:styleId="Definition" w:customStyle="1">
    <w:name w:val="Definition"/>
    <w:basedOn w:val="Normal"/>
    <w:qFormat/>
    <w:pPr/>
    <w:rPr>
      <w:sz w:val="16"/>
    </w:rPr>
  </w:style>
  <w:style w:type="paragraph" w:styleId="TableCaption" w:customStyle="1">
    <w:name w:val="Table Caption"/>
    <w:basedOn w:val="Caption"/>
    <w:qFormat/>
    <w:pPr>
      <w:keepNext w:val="true"/>
    </w:pPr>
    <w:rPr>
      <w:sz w:val="16"/>
    </w:rPr>
  </w:style>
  <w:style w:type="paragraph" w:styleId="ImageCaption" w:customStyle="1">
    <w:name w:val="Image Caption"/>
    <w:basedOn w:val="Caption"/>
    <w:qFormat/>
    <w:pPr/>
    <w:rPr>
      <w:sz w:val="14"/>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spacing w:before="0" w:after="0"/>
      <w:jc w:val="right"/>
    </w:pPr>
    <w:rPr>
      <w:rFonts w:ascii="Noto Sans" w:hAnsi="Noto Sans"/>
    </w:rPr>
  </w:style>
  <w:style w:type="paragraph" w:styleId="Header">
    <w:name w:val="header"/>
    <w:basedOn w:val="HeaderandFooter"/>
    <w:pPr>
      <w:suppressLineNumbers/>
    </w:pPr>
    <w:rPr/>
  </w:style>
  <w:style w:type="paragraph" w:styleId="Table">
    <w:name w:val="Table"/>
    <w:basedOn w:val="Caption"/>
    <w:qFormat/>
    <w:pPr/>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4.png"/>
</Relationships>
</file>

<file path=word/_rels/footer3.xml.rels><?xml version="1.0" encoding="UTF-8"?>
<Relationships xmlns="http://schemas.openxmlformats.org/package/2006/relationships"><Relationship Id="rId1" Type="http://schemas.openxmlformats.org/officeDocument/2006/relationships/image" Target="media/image4.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emf"/><Relationship Id="rId4" Type="http://schemas.openxmlformats.org/officeDocument/2006/relationships/hyperlink" Target="https://modernisationfund.eu/"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emf"/><Relationship Id="rId4" Type="http://schemas.openxmlformats.org/officeDocument/2006/relationships/hyperlink" Target="https://modernisationfund.eu/"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50</TotalTime>
  <Application>LibreOffice/26.2.5.2$Linux_X86_64 LibreOffice_project/620$Build-2</Application>
  <AppVersion>15.0000</AppVersion>
  <Pages>22</Pages>
  <Words>11543</Words>
  <Characters>68922</Characters>
  <CharactersWithSpaces>80218</CharactersWithSpaces>
  <Paragraphs>310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2026-09-21T18:24:41Z</dcterms:created>
  <dc:creator/>
  <dc:description/>
  <dc:language>ro-RO</dc:language>
  <cp:lastModifiedBy/>
  <dcterms:modified xsi:type="dcterms:W3CDTF">2026-09-21T21:31:28Z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