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tyles.xml" ContentType="application/vnd.openxmlformats-officedocument.wordprocessingml.styles+xml"/>
  <Override PartName="/word/footer3.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FirstParagraph"/>
        <w:spacing w:before="85" w:after="113"/>
        <w:rPr/>
      </w:pPr>
      <w:r>
        <w:rPr/>
        <w:t>SECȚIUNEA III — FORMULARE</w:t>
      </w:r>
    </w:p>
    <w:p>
      <w:pPr>
        <w:pStyle w:val="Heading2"/>
        <w:rPr/>
      </w:pPr>
      <w:bookmarkStart w:id="0" w:name="formularul-nr.-1-scrisoare-de-înaintare"/>
      <w:r>
        <w:rPr/>
        <w:t>Formularul nr. 1 — Scrisoare de înaintare</w:t>
      </w:r>
    </w:p>
    <w:p>
      <w:pPr>
        <w:pStyle w:val="FirstParagraph"/>
        <w:rPr/>
      </w:pPr>
      <w:r>
        <w:rPr>
          <w:i/>
          <w:iCs/>
        </w:rPr>
        <w:t>Ofertant: {denumirea, codul de înregistrare fiscală, adresa}</w:t>
      </w:r>
      <w:r>
        <w:rPr/>
        <w:t xml:space="preserve"> </w:t>
      </w:r>
      <w:r>
        <w:rPr>
          <w:i/>
          <w:iCs/>
        </w:rPr>
        <w:t>Nr. înregistrare ofertant: ……… / ………</w:t>
      </w:r>
      <w:r>
        <w:rPr/>
        <w:t xml:space="preserve"> </w:t>
      </w:r>
      <w:r>
        <w:rPr>
          <w:i/>
          <w:iCs/>
        </w:rPr>
        <w:t>Înregistrat la sediul Achizitorului nr. ……… / ………</w:t>
      </w:r>
    </w:p>
    <w:p>
      <w:pPr>
        <w:pStyle w:val="BodyText"/>
        <w:rPr/>
      </w:pPr>
      <w:r>
        <w:rPr/>
        <w:t xml:space="preserve">Către </w:t>
      </w:r>
      <w:r>
        <w:rPr>
          <w:b/>
          <w:bCs/>
        </w:rPr>
        <w:t>S.C. DFG Active Imobiliare S.R.L.</w:t>
      </w:r>
      <w:r>
        <w:rPr/>
        <w:t>, Str. Ion Creanga 7 Et. 6 Ap. 25 Cod 050864, București, sector 5</w:t>
      </w:r>
    </w:p>
    <w:p>
      <w:pPr>
        <w:pStyle w:val="BodyText"/>
        <w:rPr/>
      </w:pPr>
      <w:r>
        <w:rPr/>
        <w:t xml:space="preserve">Ca urmare a anunțului publicat în data de 14.09.2026, în scopul atribuirii Contractului având ca obiect „Pachet la cheie („EPC turn-key”) care cuprinde: proiectare tehnică completă, furnizare sistem de stocare a energiei electrice în baterii (BESS) cu o capacitate de minim 6,00 MWh, construcție, montaj și punere în funcțiune, inclusiv conectarea la CEF Căzănești”, noi, ………………………….. </w:t>
      </w:r>
      <w:r>
        <w:rPr>
          <w:i/>
          <w:iCs/>
        </w:rPr>
        <w:t>(denumirea ofertantului)</w:t>
      </w:r>
      <w:r>
        <w:rPr/>
        <w:t>, vă transmitem alăturat oferta noastră.</w:t>
      </w:r>
    </w:p>
    <w:p>
      <w:pPr>
        <w:pStyle w:val="BodyText"/>
        <w:rPr/>
      </w:pPr>
      <w:r>
        <w:rPr>
          <w:b/>
          <w:bCs/>
        </w:rPr>
        <w:t>Opis al documentelor transmise:</w:t>
      </w:r>
    </w:p>
    <w:tbl>
      <w:tblPr>
        <w:tblStyle w:val="Table"/>
        <w:tblW w:w="4900" w:type="pct"/>
        <w:jc w:val="left"/>
        <w:tblInd w:w="108" w:type="dxa"/>
        <w:tblLayout w:type="fixed"/>
        <w:tblCellMar>
          <w:top w:w="0" w:type="dxa"/>
          <w:left w:w="108" w:type="dxa"/>
          <w:bottom w:w="0" w:type="dxa"/>
          <w:right w:w="108" w:type="dxa"/>
        </w:tblCellMar>
        <w:tblLook w:noHBand="0" w:noVBand="0" w:firstColumn="0" w:lastRow="0" w:lastColumn="0" w:firstRow="1" w:val="0020"/>
      </w:tblPr>
      <w:tblGrid>
        <w:gridCol w:w="331"/>
        <w:gridCol w:w="7807"/>
        <w:gridCol w:w="1080"/>
      </w:tblGrid>
      <w:tr>
        <w:trPr>
          <w:tblHeader w:val="true"/>
        </w:trPr>
        <w:tc>
          <w:tcPr>
            <w:tcW w:w="331" w:type="dxa"/>
            <w:tcBorders>
              <w:bottom w:val="single" w:sz="6" w:space="0" w:color="000000"/>
            </w:tcBorders>
            <w:vAlign w:val="bottom"/>
          </w:tcPr>
          <w:p>
            <w:pPr>
              <w:pStyle w:val="Compact"/>
              <w:jc w:val="left"/>
              <w:rPr/>
            </w:pPr>
            <w:r>
              <w:rPr/>
              <w:t>☐</w:t>
            </w:r>
          </w:p>
        </w:tc>
        <w:tc>
          <w:tcPr>
            <w:tcW w:w="7807" w:type="dxa"/>
            <w:tcBorders>
              <w:bottom w:val="single" w:sz="6" w:space="0" w:color="000000"/>
            </w:tcBorders>
            <w:vAlign w:val="bottom"/>
          </w:tcPr>
          <w:p>
            <w:pPr>
              <w:pStyle w:val="Compact"/>
              <w:jc w:val="left"/>
              <w:rPr/>
            </w:pPr>
            <w:r>
              <w:rPr/>
              <w:t>Document</w:t>
            </w:r>
          </w:p>
        </w:tc>
        <w:tc>
          <w:tcPr>
            <w:tcW w:w="1080" w:type="dxa"/>
            <w:tcBorders>
              <w:bottom w:val="single" w:sz="6" w:space="0" w:color="000000"/>
            </w:tcBorders>
            <w:vAlign w:val="bottom"/>
          </w:tcPr>
          <w:p>
            <w:pPr>
              <w:pStyle w:val="Compact"/>
              <w:jc w:val="left"/>
              <w:rPr/>
            </w:pPr>
            <w:r>
              <w:rPr/>
              <w:t>Nr. pagini</w:t>
            </w:r>
          </w:p>
        </w:tc>
      </w:tr>
      <w:tr>
        <w:trPr/>
        <w:tc>
          <w:tcPr>
            <w:tcW w:w="331" w:type="dxa"/>
            <w:tcBorders/>
          </w:tcPr>
          <w:p>
            <w:pPr>
              <w:pStyle w:val="Compact"/>
              <w:jc w:val="left"/>
              <w:rPr/>
            </w:pPr>
            <w:r>
              <w:rPr/>
              <w:t>☐</w:t>
            </w:r>
          </w:p>
        </w:tc>
        <w:tc>
          <w:tcPr>
            <w:tcW w:w="7807" w:type="dxa"/>
            <w:tcBorders/>
          </w:tcPr>
          <w:p>
            <w:pPr>
              <w:pStyle w:val="Compact"/>
              <w:jc w:val="left"/>
              <w:rPr/>
            </w:pPr>
            <w:r>
              <w:rPr/>
              <w:t>Formularul nr. 2 — Neîncadrarea în situații care afectează calitatea de participant</w:t>
            </w:r>
          </w:p>
        </w:tc>
        <w:tc>
          <w:tcPr>
            <w:tcW w:w="1080" w:type="dxa"/>
            <w:tcBorders/>
          </w:tcPr>
          <w:p>
            <w:pPr>
              <w:pStyle w:val="Compact"/>
              <w:rPr/>
            </w:pPr>
            <w:r>
              <w:rPr/>
            </w:r>
          </w:p>
        </w:tc>
      </w:tr>
      <w:tr>
        <w:trPr/>
        <w:tc>
          <w:tcPr>
            <w:tcW w:w="331" w:type="dxa"/>
            <w:tcBorders/>
          </w:tcPr>
          <w:p>
            <w:pPr>
              <w:pStyle w:val="Compact"/>
              <w:jc w:val="left"/>
              <w:rPr/>
            </w:pPr>
            <w:r>
              <w:rPr/>
              <w:t>☐</w:t>
            </w:r>
          </w:p>
        </w:tc>
        <w:tc>
          <w:tcPr>
            <w:tcW w:w="7807" w:type="dxa"/>
            <w:tcBorders/>
          </w:tcPr>
          <w:p>
            <w:pPr>
              <w:pStyle w:val="Compact"/>
              <w:jc w:val="left"/>
              <w:rPr/>
            </w:pPr>
            <w:r>
              <w:rPr/>
              <w:t>Formularul nr. 3 — Evitarea conflictului de interese</w:t>
            </w:r>
          </w:p>
        </w:tc>
        <w:tc>
          <w:tcPr>
            <w:tcW w:w="1080" w:type="dxa"/>
            <w:tcBorders/>
          </w:tcPr>
          <w:p>
            <w:pPr>
              <w:pStyle w:val="Compact"/>
              <w:rPr/>
            </w:pPr>
            <w:r>
              <w:rPr/>
            </w:r>
          </w:p>
        </w:tc>
      </w:tr>
      <w:tr>
        <w:trPr/>
        <w:tc>
          <w:tcPr>
            <w:tcW w:w="331" w:type="dxa"/>
            <w:tcBorders/>
          </w:tcPr>
          <w:p>
            <w:pPr>
              <w:pStyle w:val="Compact"/>
              <w:jc w:val="left"/>
              <w:rPr/>
            </w:pPr>
            <w:r>
              <w:rPr/>
              <w:t>☐</w:t>
            </w:r>
          </w:p>
        </w:tc>
        <w:tc>
          <w:tcPr>
            <w:tcW w:w="7807" w:type="dxa"/>
            <w:tcBorders/>
          </w:tcPr>
          <w:p>
            <w:pPr>
              <w:pStyle w:val="Compact"/>
              <w:jc w:val="left"/>
              <w:rPr/>
            </w:pPr>
            <w:r>
              <w:rPr/>
              <w:t>Formularul nr. 4 — Calitatea de participant</w:t>
            </w:r>
          </w:p>
        </w:tc>
        <w:tc>
          <w:tcPr>
            <w:tcW w:w="1080" w:type="dxa"/>
            <w:tcBorders/>
          </w:tcPr>
          <w:p>
            <w:pPr>
              <w:pStyle w:val="Compact"/>
              <w:rPr/>
            </w:pPr>
            <w:r>
              <w:rPr/>
            </w:r>
          </w:p>
        </w:tc>
      </w:tr>
      <w:tr>
        <w:trPr/>
        <w:tc>
          <w:tcPr>
            <w:tcW w:w="331" w:type="dxa"/>
            <w:tcBorders/>
          </w:tcPr>
          <w:p>
            <w:pPr>
              <w:pStyle w:val="Compact"/>
              <w:jc w:val="left"/>
              <w:rPr/>
            </w:pPr>
            <w:r>
              <w:rPr/>
              <w:t>☐</w:t>
            </w:r>
          </w:p>
        </w:tc>
        <w:tc>
          <w:tcPr>
            <w:tcW w:w="7807" w:type="dxa"/>
            <w:tcBorders/>
          </w:tcPr>
          <w:p>
            <w:pPr>
              <w:pStyle w:val="Compact"/>
              <w:jc w:val="left"/>
              <w:rPr/>
            </w:pPr>
            <w:r>
              <w:rPr/>
              <w:t>Formularul nr. 5 — Lista contractelor similare</w:t>
            </w:r>
          </w:p>
        </w:tc>
        <w:tc>
          <w:tcPr>
            <w:tcW w:w="1080" w:type="dxa"/>
            <w:tcBorders/>
          </w:tcPr>
          <w:p>
            <w:pPr>
              <w:pStyle w:val="Compact"/>
              <w:rPr/>
            </w:pPr>
            <w:r>
              <w:rPr/>
            </w:r>
          </w:p>
        </w:tc>
      </w:tr>
      <w:tr>
        <w:trPr/>
        <w:tc>
          <w:tcPr>
            <w:tcW w:w="331" w:type="dxa"/>
            <w:tcBorders/>
          </w:tcPr>
          <w:p>
            <w:pPr>
              <w:pStyle w:val="Compact"/>
              <w:jc w:val="left"/>
              <w:rPr/>
            </w:pPr>
            <w:r>
              <w:rPr/>
              <w:t>☐</w:t>
            </w:r>
          </w:p>
        </w:tc>
        <w:tc>
          <w:tcPr>
            <w:tcW w:w="7807" w:type="dxa"/>
            <w:tcBorders/>
          </w:tcPr>
          <w:p>
            <w:pPr>
              <w:pStyle w:val="Compact"/>
              <w:jc w:val="left"/>
              <w:rPr/>
            </w:pPr>
            <w:r>
              <w:rPr/>
              <w:t>Formularul nr. 6 — Formular de ofertă, cu Valorile Garantate</w:t>
            </w:r>
          </w:p>
        </w:tc>
        <w:tc>
          <w:tcPr>
            <w:tcW w:w="1080" w:type="dxa"/>
            <w:tcBorders/>
          </w:tcPr>
          <w:p>
            <w:pPr>
              <w:pStyle w:val="Compact"/>
              <w:rPr/>
            </w:pPr>
            <w:r>
              <w:rPr/>
            </w:r>
          </w:p>
        </w:tc>
      </w:tr>
      <w:tr>
        <w:trPr/>
        <w:tc>
          <w:tcPr>
            <w:tcW w:w="331" w:type="dxa"/>
            <w:tcBorders/>
          </w:tcPr>
          <w:p>
            <w:pPr>
              <w:pStyle w:val="Compact"/>
              <w:jc w:val="left"/>
              <w:rPr/>
            </w:pPr>
            <w:r>
              <w:rPr/>
              <w:t>☐</w:t>
            </w:r>
          </w:p>
        </w:tc>
        <w:tc>
          <w:tcPr>
            <w:tcW w:w="7807" w:type="dxa"/>
            <w:tcBorders/>
          </w:tcPr>
          <w:p>
            <w:pPr>
              <w:pStyle w:val="Compact"/>
              <w:jc w:val="left"/>
              <w:rPr/>
            </w:pPr>
            <w:r>
              <w:rPr/>
              <w:t>Formularul nr. 7 — Anexa la formularul de ofertă</w:t>
            </w:r>
          </w:p>
        </w:tc>
        <w:tc>
          <w:tcPr>
            <w:tcW w:w="1080" w:type="dxa"/>
            <w:tcBorders/>
          </w:tcPr>
          <w:p>
            <w:pPr>
              <w:pStyle w:val="Compact"/>
              <w:rPr/>
            </w:pPr>
            <w:r>
              <w:rPr/>
            </w:r>
          </w:p>
        </w:tc>
      </w:tr>
      <w:tr>
        <w:trPr/>
        <w:tc>
          <w:tcPr>
            <w:tcW w:w="331" w:type="dxa"/>
            <w:tcBorders/>
          </w:tcPr>
          <w:p>
            <w:pPr>
              <w:pStyle w:val="Compact"/>
              <w:jc w:val="left"/>
              <w:rPr/>
            </w:pPr>
            <w:r>
              <w:rPr/>
              <w:t>☐</w:t>
            </w:r>
          </w:p>
        </w:tc>
        <w:tc>
          <w:tcPr>
            <w:tcW w:w="7807" w:type="dxa"/>
            <w:tcBorders/>
          </w:tcPr>
          <w:p>
            <w:pPr>
              <w:pStyle w:val="Compact"/>
              <w:jc w:val="left"/>
              <w:rPr/>
            </w:pPr>
            <w:r>
              <w:rPr/>
              <w:t>Formularul nr. 8 — Evitarea dublei finanțări</w:t>
            </w:r>
          </w:p>
        </w:tc>
        <w:tc>
          <w:tcPr>
            <w:tcW w:w="1080" w:type="dxa"/>
            <w:tcBorders/>
          </w:tcPr>
          <w:p>
            <w:pPr>
              <w:pStyle w:val="Compact"/>
              <w:rPr/>
            </w:pPr>
            <w:r>
              <w:rPr/>
            </w:r>
          </w:p>
        </w:tc>
      </w:tr>
      <w:tr>
        <w:trPr/>
        <w:tc>
          <w:tcPr>
            <w:tcW w:w="331" w:type="dxa"/>
            <w:tcBorders/>
          </w:tcPr>
          <w:p>
            <w:pPr>
              <w:pStyle w:val="Compact"/>
              <w:jc w:val="left"/>
              <w:rPr/>
            </w:pPr>
            <w:r>
              <w:rPr/>
              <w:t>☐</w:t>
            </w:r>
          </w:p>
        </w:tc>
        <w:tc>
          <w:tcPr>
            <w:tcW w:w="7807" w:type="dxa"/>
            <w:tcBorders/>
          </w:tcPr>
          <w:p>
            <w:pPr>
              <w:pStyle w:val="Compact"/>
              <w:jc w:val="left"/>
              <w:rPr/>
            </w:pPr>
            <w:r>
              <w:rPr/>
              <w:t xml:space="preserve">Formularul nr. 9 — Împuternicire </w:t>
            </w:r>
            <w:r>
              <w:rPr>
                <w:i/>
                <w:iCs/>
              </w:rPr>
              <w:t>(dacă este cazul)</w:t>
            </w:r>
          </w:p>
        </w:tc>
        <w:tc>
          <w:tcPr>
            <w:tcW w:w="1080" w:type="dxa"/>
            <w:tcBorders/>
          </w:tcPr>
          <w:p>
            <w:pPr>
              <w:pStyle w:val="Compact"/>
              <w:rPr/>
            </w:pPr>
            <w:r>
              <w:rPr/>
            </w:r>
          </w:p>
        </w:tc>
      </w:tr>
      <w:tr>
        <w:trPr/>
        <w:tc>
          <w:tcPr>
            <w:tcW w:w="331" w:type="dxa"/>
            <w:tcBorders/>
          </w:tcPr>
          <w:p>
            <w:pPr>
              <w:pStyle w:val="Compact"/>
              <w:jc w:val="left"/>
              <w:rPr/>
            </w:pPr>
            <w:r>
              <w:rPr/>
              <w:t>☐</w:t>
            </w:r>
          </w:p>
        </w:tc>
        <w:tc>
          <w:tcPr>
            <w:tcW w:w="7807" w:type="dxa"/>
            <w:tcBorders/>
          </w:tcPr>
          <w:p>
            <w:pPr>
              <w:pStyle w:val="Compact"/>
              <w:jc w:val="left"/>
              <w:rPr/>
            </w:pPr>
            <w:r>
              <w:rPr/>
              <w:t>Formularul nr. 10 — Acord fără rezerve cu modelul de contract</w:t>
            </w:r>
          </w:p>
        </w:tc>
        <w:tc>
          <w:tcPr>
            <w:tcW w:w="1080" w:type="dxa"/>
            <w:tcBorders/>
          </w:tcPr>
          <w:p>
            <w:pPr>
              <w:pStyle w:val="Compact"/>
              <w:rPr/>
            </w:pPr>
            <w:r>
              <w:rPr/>
            </w:r>
          </w:p>
        </w:tc>
      </w:tr>
      <w:tr>
        <w:trPr/>
        <w:tc>
          <w:tcPr>
            <w:tcW w:w="331" w:type="dxa"/>
            <w:tcBorders/>
          </w:tcPr>
          <w:p>
            <w:pPr>
              <w:pStyle w:val="Compact"/>
              <w:jc w:val="left"/>
              <w:rPr/>
            </w:pPr>
            <w:r>
              <w:rPr/>
              <w:t>☐</w:t>
            </w:r>
          </w:p>
        </w:tc>
        <w:tc>
          <w:tcPr>
            <w:tcW w:w="7807" w:type="dxa"/>
            <w:tcBorders/>
          </w:tcPr>
          <w:p>
            <w:pPr>
              <w:pStyle w:val="Compact"/>
              <w:jc w:val="left"/>
              <w:rPr/>
            </w:pPr>
            <w:r>
              <w:rPr/>
              <w:t>Formularul nr. 13 — Originea și conformitatea cu măsurile restrictive</w:t>
            </w:r>
          </w:p>
        </w:tc>
        <w:tc>
          <w:tcPr>
            <w:tcW w:w="1080" w:type="dxa"/>
            <w:tcBorders/>
          </w:tcPr>
          <w:p>
            <w:pPr>
              <w:pStyle w:val="Compact"/>
              <w:rPr/>
            </w:pPr>
            <w:r>
              <w:rPr/>
            </w:r>
          </w:p>
        </w:tc>
      </w:tr>
      <w:tr>
        <w:trPr/>
        <w:tc>
          <w:tcPr>
            <w:tcW w:w="331" w:type="dxa"/>
            <w:tcBorders/>
          </w:tcPr>
          <w:p>
            <w:pPr>
              <w:pStyle w:val="Compact"/>
              <w:jc w:val="left"/>
              <w:rPr/>
            </w:pPr>
            <w:r>
              <w:rPr/>
              <w:t>☐</w:t>
            </w:r>
          </w:p>
        </w:tc>
        <w:tc>
          <w:tcPr>
            <w:tcW w:w="7807" w:type="dxa"/>
            <w:tcBorders/>
          </w:tcPr>
          <w:p>
            <w:pPr>
              <w:pStyle w:val="Compact"/>
              <w:jc w:val="left"/>
              <w:rPr/>
            </w:pPr>
            <w:r>
              <w:rPr/>
              <w:t xml:space="preserve">Formularul nr. 14, foaia „Ofertă” — graficul de execuție </w:t>
            </w:r>
            <w:r>
              <w:rPr>
                <w:i/>
                <w:iCs/>
              </w:rPr>
              <w:t>(opțional, recomandat, §3.4.3)</w:t>
            </w:r>
          </w:p>
        </w:tc>
        <w:tc>
          <w:tcPr>
            <w:tcW w:w="1080" w:type="dxa"/>
            <w:tcBorders/>
          </w:tcPr>
          <w:p>
            <w:pPr>
              <w:pStyle w:val="Compact"/>
              <w:rPr/>
            </w:pPr>
            <w:r>
              <w:rPr/>
            </w:r>
          </w:p>
        </w:tc>
      </w:tr>
      <w:tr>
        <w:trPr/>
        <w:tc>
          <w:tcPr>
            <w:tcW w:w="331" w:type="dxa"/>
            <w:tcBorders/>
          </w:tcPr>
          <w:p>
            <w:pPr>
              <w:pStyle w:val="Compact"/>
              <w:jc w:val="left"/>
              <w:rPr/>
            </w:pPr>
            <w:r>
              <w:rPr/>
              <w:t>☐</w:t>
            </w:r>
          </w:p>
        </w:tc>
        <w:tc>
          <w:tcPr>
            <w:tcW w:w="7807" w:type="dxa"/>
            <w:tcBorders/>
          </w:tcPr>
          <w:p>
            <w:pPr>
              <w:pStyle w:val="Compact"/>
              <w:jc w:val="left"/>
              <w:rPr/>
            </w:pPr>
            <w:r>
              <w:rPr/>
              <w:t>Declarație privind instrumentele de garantare alese (§5.2 poz. 10a)</w:t>
            </w:r>
          </w:p>
        </w:tc>
        <w:tc>
          <w:tcPr>
            <w:tcW w:w="1080" w:type="dxa"/>
            <w:tcBorders/>
          </w:tcPr>
          <w:p>
            <w:pPr>
              <w:pStyle w:val="Compact"/>
              <w:rPr/>
            </w:pPr>
            <w:r>
              <w:rPr/>
            </w:r>
          </w:p>
        </w:tc>
      </w:tr>
      <w:tr>
        <w:trPr/>
        <w:tc>
          <w:tcPr>
            <w:tcW w:w="331" w:type="dxa"/>
            <w:tcBorders/>
          </w:tcPr>
          <w:p>
            <w:pPr>
              <w:pStyle w:val="Compact"/>
              <w:jc w:val="left"/>
              <w:rPr/>
            </w:pPr>
            <w:r>
              <w:rPr/>
              <w:t>☐</w:t>
            </w:r>
          </w:p>
        </w:tc>
        <w:tc>
          <w:tcPr>
            <w:tcW w:w="7807" w:type="dxa"/>
            <w:tcBorders/>
          </w:tcPr>
          <w:p>
            <w:pPr>
              <w:pStyle w:val="Compact"/>
              <w:jc w:val="left"/>
              <w:rPr/>
            </w:pPr>
            <w:r>
              <w:rPr>
                <w:b/>
                <w:bCs/>
              </w:rPr>
              <w:t>Declarația producătorului celulei privind anvelopa de garanție (§3.3 lit. E17)</w:t>
            </w:r>
          </w:p>
        </w:tc>
        <w:tc>
          <w:tcPr>
            <w:tcW w:w="1080" w:type="dxa"/>
            <w:tcBorders/>
          </w:tcPr>
          <w:p>
            <w:pPr>
              <w:pStyle w:val="Compact"/>
              <w:rPr/>
            </w:pPr>
            <w:r>
              <w:rPr/>
            </w:r>
          </w:p>
        </w:tc>
      </w:tr>
      <w:tr>
        <w:trPr/>
        <w:tc>
          <w:tcPr>
            <w:tcW w:w="331" w:type="dxa"/>
            <w:tcBorders/>
          </w:tcPr>
          <w:p>
            <w:pPr>
              <w:pStyle w:val="Compact"/>
              <w:jc w:val="left"/>
              <w:rPr/>
            </w:pPr>
            <w:r>
              <w:rPr/>
              <w:t>☐</w:t>
            </w:r>
          </w:p>
        </w:tc>
        <w:tc>
          <w:tcPr>
            <w:tcW w:w="7807" w:type="dxa"/>
            <w:tcBorders/>
          </w:tcPr>
          <w:p>
            <w:pPr>
              <w:pStyle w:val="Compact"/>
              <w:jc w:val="left"/>
              <w:rPr/>
            </w:pPr>
            <w:r>
              <w:rPr/>
              <w:t>Certificat constatator ONRC sau echivalent</w:t>
            </w:r>
          </w:p>
        </w:tc>
        <w:tc>
          <w:tcPr>
            <w:tcW w:w="1080" w:type="dxa"/>
            <w:tcBorders/>
          </w:tcPr>
          <w:p>
            <w:pPr>
              <w:pStyle w:val="Compact"/>
              <w:rPr/>
            </w:pPr>
            <w:r>
              <w:rPr/>
            </w:r>
          </w:p>
        </w:tc>
      </w:tr>
      <w:tr>
        <w:trPr/>
        <w:tc>
          <w:tcPr>
            <w:tcW w:w="331" w:type="dxa"/>
            <w:tcBorders/>
          </w:tcPr>
          <w:p>
            <w:pPr>
              <w:pStyle w:val="Compact"/>
              <w:jc w:val="left"/>
              <w:rPr/>
            </w:pPr>
            <w:r>
              <w:rPr/>
              <w:t>☐</w:t>
            </w:r>
          </w:p>
        </w:tc>
        <w:tc>
          <w:tcPr>
            <w:tcW w:w="7807" w:type="dxa"/>
            <w:tcBorders/>
          </w:tcPr>
          <w:p>
            <w:pPr>
              <w:pStyle w:val="Compact"/>
              <w:jc w:val="left"/>
              <w:rPr/>
            </w:pPr>
            <w:r>
              <w:rPr/>
              <w:t>Date privind beneficiarul real</w:t>
            </w:r>
          </w:p>
        </w:tc>
        <w:tc>
          <w:tcPr>
            <w:tcW w:w="1080" w:type="dxa"/>
            <w:tcBorders/>
          </w:tcPr>
          <w:p>
            <w:pPr>
              <w:pStyle w:val="Compact"/>
              <w:rPr/>
            </w:pPr>
            <w:r>
              <w:rPr/>
            </w:r>
          </w:p>
        </w:tc>
      </w:tr>
      <w:tr>
        <w:trPr/>
        <w:tc>
          <w:tcPr>
            <w:tcW w:w="331" w:type="dxa"/>
            <w:tcBorders/>
          </w:tcPr>
          <w:p>
            <w:pPr>
              <w:pStyle w:val="Compact"/>
              <w:jc w:val="left"/>
              <w:rPr/>
            </w:pPr>
            <w:r>
              <w:rPr/>
              <w:t>☐</w:t>
            </w:r>
          </w:p>
        </w:tc>
        <w:tc>
          <w:tcPr>
            <w:tcW w:w="7807" w:type="dxa"/>
            <w:tcBorders/>
          </w:tcPr>
          <w:p>
            <w:pPr>
              <w:pStyle w:val="Compact"/>
              <w:jc w:val="left"/>
              <w:rPr/>
            </w:pPr>
            <w:r>
              <w:rPr/>
              <w:t>Atestate ANRE și documente de personal</w:t>
            </w:r>
          </w:p>
        </w:tc>
        <w:tc>
          <w:tcPr>
            <w:tcW w:w="1080" w:type="dxa"/>
            <w:tcBorders/>
          </w:tcPr>
          <w:p>
            <w:pPr>
              <w:pStyle w:val="Compact"/>
              <w:rPr/>
            </w:pPr>
            <w:r>
              <w:rPr/>
            </w:r>
          </w:p>
        </w:tc>
      </w:tr>
      <w:tr>
        <w:trPr/>
        <w:tc>
          <w:tcPr>
            <w:tcW w:w="331" w:type="dxa"/>
            <w:tcBorders/>
          </w:tcPr>
          <w:p>
            <w:pPr>
              <w:pStyle w:val="Compact"/>
              <w:jc w:val="left"/>
              <w:rPr/>
            </w:pPr>
            <w:r>
              <w:rPr/>
              <w:t>☐</w:t>
            </w:r>
          </w:p>
        </w:tc>
        <w:tc>
          <w:tcPr>
            <w:tcW w:w="7807" w:type="dxa"/>
            <w:tcBorders/>
          </w:tcPr>
          <w:p>
            <w:pPr>
              <w:pStyle w:val="Compact"/>
              <w:jc w:val="left"/>
              <w:rPr/>
            </w:pPr>
            <w:r>
              <w:rPr/>
              <w:t>Propunerea tehnică, inclusiv matricea de conformitate</w:t>
            </w:r>
          </w:p>
        </w:tc>
        <w:tc>
          <w:tcPr>
            <w:tcW w:w="1080" w:type="dxa"/>
            <w:tcBorders/>
          </w:tcPr>
          <w:p>
            <w:pPr>
              <w:pStyle w:val="Compact"/>
              <w:rPr/>
            </w:pPr>
            <w:r>
              <w:rPr/>
            </w:r>
          </w:p>
        </w:tc>
      </w:tr>
      <w:tr>
        <w:trPr/>
        <w:tc>
          <w:tcPr>
            <w:tcW w:w="331" w:type="dxa"/>
            <w:tcBorders/>
          </w:tcPr>
          <w:p>
            <w:pPr>
              <w:pStyle w:val="Compact"/>
              <w:jc w:val="left"/>
              <w:rPr/>
            </w:pPr>
            <w:r>
              <w:rPr/>
              <w:t>☐</w:t>
            </w:r>
          </w:p>
        </w:tc>
        <w:tc>
          <w:tcPr>
            <w:tcW w:w="7807" w:type="dxa"/>
            <w:tcBorders/>
          </w:tcPr>
          <w:p>
            <w:pPr>
              <w:pStyle w:val="Compact"/>
              <w:jc w:val="left"/>
              <w:rPr/>
            </w:pPr>
            <w:r>
              <w:rPr/>
              <w:t>Propunerea financiară</w:t>
            </w:r>
          </w:p>
        </w:tc>
        <w:tc>
          <w:tcPr>
            <w:tcW w:w="1080" w:type="dxa"/>
            <w:tcBorders/>
          </w:tcPr>
          <w:p>
            <w:pPr>
              <w:pStyle w:val="Compact"/>
              <w:rPr/>
            </w:pPr>
            <w:r>
              <w:rPr/>
            </w:r>
          </w:p>
        </w:tc>
      </w:tr>
      <w:tr>
        <w:trPr/>
        <w:tc>
          <w:tcPr>
            <w:tcW w:w="331" w:type="dxa"/>
            <w:tcBorders/>
          </w:tcPr>
          <w:p>
            <w:pPr>
              <w:pStyle w:val="Compact"/>
              <w:rPr/>
            </w:pPr>
            <w:r>
              <w:rPr/>
            </w:r>
          </w:p>
        </w:tc>
        <w:tc>
          <w:tcPr>
            <w:tcW w:w="7807" w:type="dxa"/>
            <w:tcBorders/>
          </w:tcPr>
          <w:p>
            <w:pPr>
              <w:pStyle w:val="Compact"/>
              <w:jc w:val="left"/>
              <w:rPr/>
            </w:pPr>
            <w:r>
              <w:rPr>
                <w:b/>
                <w:bCs/>
              </w:rPr>
              <w:t>TOTAL</w:t>
            </w:r>
          </w:p>
        </w:tc>
        <w:tc>
          <w:tcPr>
            <w:tcW w:w="1080" w:type="dxa"/>
            <w:tcBorders/>
          </w:tcPr>
          <w:p>
            <w:pPr>
              <w:pStyle w:val="Compact"/>
              <w:rPr/>
            </w:pPr>
            <w:r>
              <w:rPr/>
            </w:r>
          </w:p>
        </w:tc>
      </w:tr>
    </w:tbl>
    <w:p>
      <w:pPr>
        <w:pStyle w:val="BodyText"/>
        <w:rPr/>
      </w:pPr>
      <w:r>
        <w:rPr/>
        <w:t xml:space="preserve">Data completării: ……………… Ofertant, </w:t>
      </w:r>
      <w:r>
        <w:rPr>
          <w:i/>
          <w:iCs/>
        </w:rPr>
        <w:t>(semnătură electronică calificată)</w:t>
      </w:r>
      <w:bookmarkEnd w:id="0"/>
    </w:p>
    <w:p>
      <w:pPr>
        <w:pStyle w:val="Heading2"/>
        <w:rPr/>
      </w:pPr>
      <w:bookmarkStart w:id="1" w:name="Xd7045ddb4c63c8944411dbd54526602c37c8015"/>
      <w:r>
        <w:rPr/>
        <w:t>Formularul nr. 2 — Declarație privind neîncadrarea în situații care afectează calitatea de participant</w:t>
      </w:r>
    </w:p>
    <w:p>
      <w:pPr>
        <w:pStyle w:val="FirstParagraph"/>
        <w:rPr/>
      </w:pPr>
      <w:r>
        <w:rPr>
          <w:i/>
          <w:iCs/>
        </w:rPr>
        <w:t>Ofertant / subcontractant</w:t>
      </w:r>
    </w:p>
    <w:p>
      <w:pPr>
        <w:pStyle w:val="BodyText"/>
        <w:rPr/>
      </w:pPr>
      <w:r>
        <w:rPr/>
        <w:t>Subsemnatul, ……………………, reprezentant legal/împuternicit al ……………………, în calitate de ofertant la Procedura organizată de S.C. DFG Active Imobiliare S.R.L., publicată la data de 14.09.2026, declar pe proprie răspundere, sub sancțiunile aplicate faptei de fals în declarații prevăzute la art. 326 din Legea nr. 286/2009 privind Codul penal, că:</w:t>
      </w:r>
    </w:p>
    <w:p>
      <w:pPr>
        <w:pStyle w:val="Compact"/>
        <w:numPr>
          <w:ilvl w:val="0"/>
          <w:numId w:val="12"/>
        </w:numPr>
        <w:rPr/>
      </w:pPr>
      <w:r>
        <w:rPr/>
        <w:t>nu mă aflu în stare de faliment, lichidare, supraveghere judiciară sau încetare a activității;</w:t>
      </w:r>
    </w:p>
    <w:p>
      <w:pPr>
        <w:pStyle w:val="Compact"/>
        <w:numPr>
          <w:ilvl w:val="0"/>
          <w:numId w:val="1"/>
        </w:numPr>
        <w:rPr/>
      </w:pPr>
      <w:r>
        <w:rPr/>
        <w:t>în ultimii 5 ani nu am fost condamnat prin hotărâre definitivă pentru constituirea unui grup infracțional organizat, corupție, infracțiuni împotriva intereselor financiare ale Uniunii Europene, acte de terorism, fraudă, spălare de bani, trafic și exploatare a persoanelor vulnerabile;</w:t>
      </w:r>
    </w:p>
    <w:p>
      <w:pPr>
        <w:pStyle w:val="Compact"/>
        <w:numPr>
          <w:ilvl w:val="0"/>
          <w:numId w:val="1"/>
        </w:numPr>
        <w:rPr/>
      </w:pPr>
      <w:r>
        <w:rPr/>
        <w:t>în ultimii 3 ani nu am fost condamnat prin hotărâre definitivă pentru o abatere profesională care îmi afectează reputația profesională;</w:t>
      </w:r>
    </w:p>
    <w:p>
      <w:pPr>
        <w:pStyle w:val="Compact"/>
        <w:numPr>
          <w:ilvl w:val="0"/>
          <w:numId w:val="1"/>
        </w:numPr>
        <w:rPr/>
      </w:pPr>
      <w:r>
        <w:rPr/>
        <w:t>în ultimii 2 ani nu am încălcat grav sau repetat, din motive imputabile, obligațiile contractuale principale, astfel încât să fi intervenit încetarea anticipată a contractului, plata de daune-interese sau sancțiuni comparabile;</w:t>
      </w:r>
    </w:p>
    <w:p>
      <w:pPr>
        <w:pStyle w:val="Compact"/>
        <w:numPr>
          <w:ilvl w:val="0"/>
          <w:numId w:val="1"/>
        </w:numPr>
        <w:rPr/>
      </w:pPr>
      <w:r>
        <w:rPr/>
        <w:t>nu mă încadrez în regimul măsurilor restrictive ale Uniunii Europene aplicabile la data prezentei;</w:t>
      </w:r>
    </w:p>
    <w:p>
      <w:pPr>
        <w:pStyle w:val="Compact"/>
        <w:numPr>
          <w:ilvl w:val="0"/>
          <w:numId w:val="1"/>
        </w:numPr>
        <w:rPr/>
      </w:pPr>
      <w:r>
        <w:rPr/>
        <w:t>informațiile prezentate Achizitorului sunt adevărate și nu prezint informații false.</w:t>
      </w:r>
    </w:p>
    <w:p>
      <w:pPr>
        <w:pStyle w:val="FirstParagraph"/>
        <w:rPr/>
      </w:pPr>
      <w:r>
        <w:rPr/>
        <w:t>Declar că informațiile furnizate sunt complete și corecte în fiecare detaliu și înțeleg că Achizitorul are dreptul de a solicita, în scopul verificării, orice documente doveditoare.</w:t>
      </w:r>
    </w:p>
    <w:p>
      <w:pPr>
        <w:pStyle w:val="BodyText"/>
        <w:rPr/>
      </w:pPr>
      <w:r>
        <w:rPr/>
        <w:t xml:space="preserve">Data completării: ……………… Ofertant, </w:t>
      </w:r>
      <w:r>
        <w:rPr>
          <w:i/>
          <w:iCs/>
        </w:rPr>
        <w:t>(semnătură autorizată)</w:t>
      </w:r>
      <w:bookmarkEnd w:id="1"/>
    </w:p>
    <w:p>
      <w:pPr>
        <w:pStyle w:val="Heading2"/>
        <w:rPr/>
      </w:pPr>
      <w:bookmarkStart w:id="2" w:name="Xe7a6dfe8e6cd2ffb5e0949e44f316ac03965b78"/>
      <w:r>
        <w:rPr/>
        <w:t>Formularul nr. 3 — Declarație privind evitarea conflictului de interese</w:t>
      </w:r>
    </w:p>
    <w:p>
      <w:pPr>
        <w:pStyle w:val="FirstParagraph"/>
        <w:rPr/>
      </w:pPr>
      <w:r>
        <w:rPr>
          <w:i/>
          <w:iCs/>
        </w:rPr>
        <w:t>Ofertant / subcontractant</w:t>
      </w:r>
    </w:p>
    <w:p>
      <w:pPr>
        <w:pStyle w:val="BodyText"/>
        <w:rPr/>
      </w:pPr>
      <w:r>
        <w:rPr/>
        <w:t xml:space="preserve">Subsemnatul, ……………………, în calitate de reprezentant legal al ……………………, referitor la Procedura organizată de S.C. DFG Active Imobiliare S.R.L., declar pe proprie răspundere, sub sancțiunea falsului în declarații prevăzut la art. 326 din Legea nr. 286/2009 și la art. 18¹ din Legea nr. 78/2000, că nu mă încadrez în situațiile prevăzute la </w:t>
      </w:r>
      <w:r>
        <w:rPr>
          <w:b/>
          <w:bCs/>
        </w:rPr>
        <w:t>art. 15 din Ordonanța de urgență a Guvernului nr. 66/2011</w:t>
      </w:r>
      <w:r>
        <w:rPr/>
        <w:t xml:space="preserve"> și, în special, că nici la data prezentei și nici în ultimele 12 luni calendaristice nu cunosc situații în care:</w:t>
      </w:r>
    </w:p>
    <w:p>
      <w:pPr>
        <w:pStyle w:val="Compact"/>
        <w:numPr>
          <w:ilvl w:val="0"/>
          <w:numId w:val="13"/>
        </w:numPr>
        <w:rPr/>
      </w:pPr>
      <w:r>
        <w:rPr/>
        <w:t>să existe legături de soț/soție, rudenie sau afinitate până la gradul al II-lea inclusiv între structurile acționariatului sau administratorii Achizitorului și cele ale ofertantului, subcontractantului sau asociatului;</w:t>
      </w:r>
    </w:p>
    <w:p>
      <w:pPr>
        <w:pStyle w:val="Compact"/>
        <w:numPr>
          <w:ilvl w:val="0"/>
          <w:numId w:val="1"/>
        </w:numPr>
        <w:rPr/>
      </w:pPr>
      <w:r>
        <w:rPr/>
        <w:t>să existe asemenea legături între membrii comisiei de evaluare ori alte persoane responsabile ale Achizitorului și ofertant, subcontractant sau asociat;</w:t>
      </w:r>
    </w:p>
    <w:p>
      <w:pPr>
        <w:pStyle w:val="Compact"/>
        <w:numPr>
          <w:ilvl w:val="0"/>
          <w:numId w:val="1"/>
        </w:numPr>
        <w:rPr/>
      </w:pPr>
      <w:r>
        <w:rPr/>
        <w:t>persoane fizice sau juridice, autonome ori legate între ele, să dețină individual sau împreună mai mult de 25% din capitalul social la doi sau mai mulți operatori economici care au depus oferte distincte în prezenta Procedură;</w:t>
      </w:r>
    </w:p>
    <w:p>
      <w:pPr>
        <w:pStyle w:val="Compact"/>
        <w:numPr>
          <w:ilvl w:val="0"/>
          <w:numId w:val="1"/>
        </w:numPr>
        <w:rPr/>
      </w:pPr>
      <w:r>
        <w:rPr/>
        <w:t>Achizitorul și unul dintre ofertanți, subcontractanți sau asociați să aibă beneficiari reali comuni, inclusiv soț/soție ori beneficiari reali cu legături de rudenie sau afinitate până la gradul al II-lea;</w:t>
      </w:r>
    </w:p>
    <w:p>
      <w:pPr>
        <w:pStyle w:val="Compact"/>
        <w:numPr>
          <w:ilvl w:val="0"/>
          <w:numId w:val="1"/>
        </w:numPr>
        <w:rPr/>
      </w:pPr>
      <w:r>
        <w:rPr/>
        <w:t>să se fi dat sau primit cadouri ori alte forme de ospitalitate care depășesc ceea ce este uzual și modest și care, pe cale de consecință, ar putea fi considerate stimulent.</w:t>
      </w:r>
    </w:p>
    <w:p>
      <w:pPr>
        <w:pStyle w:val="FirstParagraph"/>
        <w:rPr/>
      </w:pPr>
      <w:r>
        <w:rPr/>
        <w:t>Declar că voi notifica imediat Achizitorul dacă vor interveni modificări în prezenta declarație și că voi lua în cel mai scurt timp măsuri pentru remedierea conflictului de interese.</w:t>
      </w:r>
    </w:p>
    <w:p>
      <w:pPr>
        <w:pStyle w:val="BodyText"/>
        <w:rPr/>
      </w:pPr>
      <w:r>
        <w:rPr/>
        <w:t>Datele Achizitorului necesare acestei analize sunt cele publicate la §4.3.1 din Caietul de Sarcini.</w:t>
      </w:r>
    </w:p>
    <w:p>
      <w:pPr>
        <w:pStyle w:val="BodyText"/>
        <w:rPr/>
      </w:pPr>
      <w:r>
        <w:rPr/>
        <w:t xml:space="preserve">Data completării: ……………… Ofertant, </w:t>
      </w:r>
      <w:r>
        <w:rPr>
          <w:i/>
          <w:iCs/>
        </w:rPr>
        <w:t>(semnătură autorizată)</w:t>
      </w:r>
      <w:bookmarkEnd w:id="2"/>
    </w:p>
    <w:p>
      <w:pPr>
        <w:pStyle w:val="Heading2"/>
        <w:rPr/>
      </w:pPr>
      <w:bookmarkStart w:id="3" w:name="Xe788ca4f5fd00b35b4cd5ed0fba226ac98f33c0"/>
      <w:r>
        <w:rPr/>
        <w:t>Formularul nr. 4 — Declarație privind calitatea de participant</w:t>
      </w:r>
    </w:p>
    <w:p>
      <w:pPr>
        <w:pStyle w:val="FirstParagraph"/>
        <w:rPr/>
      </w:pPr>
      <w:r>
        <w:rPr>
          <w:i/>
          <w:iCs/>
        </w:rPr>
        <w:t>Conținut standard:</w:t>
      </w:r>
      <w:r>
        <w:rPr/>
        <w:t xml:space="preserve"> participare în nume propriu / ca subcontractant; confirmarea că nu se licitează pentru același contract în altă formă; acordul cu regulile de evitare a conflictului de interese; apartenența sau nu la un grup ori la o rețea de operatori economici; obligația de a informa imediat Achizitorul despre orice modificare; autorizarea Achizitorului de a solicita informații de la instituții, bănci și alte persoane juridice.</w:t>
      </w:r>
    </w:p>
    <w:p>
      <w:pPr>
        <w:pStyle w:val="BodyText"/>
        <w:rPr/>
      </w:pPr>
      <w:r>
        <w:rPr/>
        <w:t xml:space="preserve">Se întocmește pe antetul Ofertantului și se încheie cu: </w:t>
      </w:r>
      <w:r>
        <w:rPr>
          <w:b/>
          <w:bCs/>
        </w:rPr>
        <w:t>Data completării: ………………</w:t>
      </w:r>
      <w:r>
        <w:rPr/>
        <w:t xml:space="preserve"> și </w:t>
      </w:r>
      <w:r>
        <w:rPr>
          <w:b/>
          <w:bCs/>
        </w:rPr>
        <w:t>Ofertant, …………….</w:t>
      </w:r>
      <w:r>
        <w:rPr/>
        <w:t xml:space="preserve"> </w:t>
      </w:r>
      <w:r>
        <w:rPr>
          <w:i/>
          <w:iCs/>
        </w:rPr>
        <w:t>(nume, funcție, semnătură autorizată)</w:t>
      </w:r>
      <w:r>
        <w:rPr/>
        <w:t>.</w:t>
      </w:r>
      <w:bookmarkEnd w:id="3"/>
    </w:p>
    <w:p>
      <w:pPr>
        <w:pStyle w:val="Heading2"/>
        <w:rPr/>
      </w:pPr>
      <w:bookmarkStart w:id="4" w:name="X1399542060be12ebb3d21ae03ce0cad59bf32e9"/>
      <w:r>
        <w:rPr/>
        <w:t>Formularul nr. 5 — Lista contractelor similare din ultimii 3 ani</w:t>
      </w:r>
    </w:p>
    <w:p>
      <w:pPr>
        <w:pStyle w:val="FirstParagraph"/>
        <w:rPr/>
      </w:pPr>
      <w:r>
        <w:rPr>
          <w:i/>
          <w:iCs/>
        </w:rPr>
        <w:t>Ofertant / subcontractant</w:t>
      </w:r>
    </w:p>
    <w:p>
      <w:pPr>
        <w:pStyle w:val="BodyText"/>
        <w:rPr/>
      </w:pPr>
      <w:r>
        <w:rPr/>
        <w:t>Subsemnatul, ……………………, reprezentant legal/împuternicit al ……………………, declar pe propria răspundere, sub sancțiunile aplicate faptei de fals în declarații, că datele din tabelul de mai jos sunt reale.</w:t>
      </w:r>
    </w:p>
    <w:p>
      <w:pPr>
        <w:pStyle w:val="BodyText"/>
        <w:rPr/>
      </w:pPr>
      <w:r>
        <w:rPr/>
        <w:t xml:space="preserve">Autorizez prin prezenta orice instituție, societate comercială, bancă sau altă persoană juridică să furnizeze informații reprezentanților autorizați ai </w:t>
      </w:r>
      <w:r>
        <w:rPr>
          <w:b/>
          <w:bCs/>
        </w:rPr>
        <w:t>S.C. DFG Active Imobiliare S.R.L.</w:t>
      </w:r>
      <w:r>
        <w:rPr/>
        <w:t xml:space="preserve"> cu privire la orice aspect tehnic și financiar în legătură cu activitatea noastră.</w:t>
      </w:r>
    </w:p>
    <w:tbl>
      <w:tblPr>
        <w:tblStyle w:val="Table"/>
        <w:tblW w:w="4950" w:type="pct"/>
        <w:jc w:val="left"/>
        <w:tblInd w:w="108" w:type="dxa"/>
        <w:tblLayout w:type="fixed"/>
        <w:tblCellMar>
          <w:top w:w="0" w:type="dxa"/>
          <w:left w:w="108" w:type="dxa"/>
          <w:bottom w:w="0" w:type="dxa"/>
          <w:right w:w="108" w:type="dxa"/>
        </w:tblCellMar>
        <w:tblLook w:noHBand="0" w:noVBand="0" w:firstColumn="0" w:lastRow="0" w:lastColumn="0" w:firstRow="1" w:val="0020"/>
      </w:tblPr>
      <w:tblGrid>
        <w:gridCol w:w="267"/>
        <w:gridCol w:w="1450"/>
        <w:gridCol w:w="839"/>
        <w:gridCol w:w="1031"/>
        <w:gridCol w:w="611"/>
        <w:gridCol w:w="954"/>
        <w:gridCol w:w="1106"/>
        <w:gridCol w:w="725"/>
        <w:gridCol w:w="1031"/>
        <w:gridCol w:w="419"/>
        <w:gridCol w:w="879"/>
      </w:tblGrid>
      <w:tr>
        <w:trPr>
          <w:tblHeader w:val="true"/>
        </w:trPr>
        <w:tc>
          <w:tcPr>
            <w:tcW w:w="267" w:type="dxa"/>
            <w:tcBorders>
              <w:bottom w:val="single" w:sz="6" w:space="0" w:color="000000"/>
            </w:tcBorders>
            <w:vAlign w:val="bottom"/>
          </w:tcPr>
          <w:p>
            <w:pPr>
              <w:pStyle w:val="Compact"/>
              <w:jc w:val="left"/>
              <w:rPr/>
            </w:pPr>
            <w:r>
              <w:rPr/>
              <w:t>Nr.</w:t>
            </w:r>
          </w:p>
        </w:tc>
        <w:tc>
          <w:tcPr>
            <w:tcW w:w="1450" w:type="dxa"/>
            <w:tcBorders>
              <w:bottom w:val="single" w:sz="6" w:space="0" w:color="000000"/>
            </w:tcBorders>
            <w:vAlign w:val="bottom"/>
          </w:tcPr>
          <w:p>
            <w:pPr>
              <w:pStyle w:val="Compact"/>
              <w:jc w:val="left"/>
              <w:rPr/>
            </w:pPr>
            <w:r>
              <w:rPr/>
              <w:t>Obiectul contractului / nr. și data</w:t>
            </w:r>
          </w:p>
        </w:tc>
        <w:tc>
          <w:tcPr>
            <w:tcW w:w="839" w:type="dxa"/>
            <w:tcBorders>
              <w:bottom w:val="single" w:sz="6" w:space="0" w:color="000000"/>
            </w:tcBorders>
            <w:vAlign w:val="bottom"/>
          </w:tcPr>
          <w:p>
            <w:pPr>
              <w:pStyle w:val="Compact"/>
              <w:jc w:val="left"/>
              <w:rPr/>
            </w:pPr>
            <w:r>
              <w:rPr/>
              <w:t>Beneficiar / adresă</w:t>
            </w:r>
          </w:p>
        </w:tc>
        <w:tc>
          <w:tcPr>
            <w:tcW w:w="1031" w:type="dxa"/>
            <w:tcBorders>
              <w:bottom w:val="single" w:sz="6" w:space="0" w:color="000000"/>
            </w:tcBorders>
            <w:vAlign w:val="bottom"/>
          </w:tcPr>
          <w:p>
            <w:pPr>
              <w:pStyle w:val="Compact"/>
              <w:jc w:val="left"/>
              <w:rPr/>
            </w:pPr>
            <w:r>
              <w:rPr/>
              <w:t>Calitatea Ofertantului*</w:t>
            </w:r>
          </w:p>
        </w:tc>
        <w:tc>
          <w:tcPr>
            <w:tcW w:w="611" w:type="dxa"/>
            <w:tcBorders>
              <w:bottom w:val="single" w:sz="6" w:space="0" w:color="000000"/>
            </w:tcBorders>
            <w:vAlign w:val="bottom"/>
          </w:tcPr>
          <w:p>
            <w:pPr>
              <w:pStyle w:val="Compact"/>
              <w:jc w:val="left"/>
              <w:rPr/>
            </w:pPr>
            <w:r>
              <w:rPr/>
              <w:t>Valoare (lei)</w:t>
            </w:r>
          </w:p>
        </w:tc>
        <w:tc>
          <w:tcPr>
            <w:tcW w:w="954" w:type="dxa"/>
            <w:tcBorders>
              <w:bottom w:val="single" w:sz="6" w:space="0" w:color="000000"/>
            </w:tcBorders>
            <w:vAlign w:val="bottom"/>
          </w:tcPr>
          <w:p>
            <w:pPr>
              <w:pStyle w:val="Compact"/>
              <w:jc w:val="left"/>
              <w:rPr/>
            </w:pPr>
            <w:r>
              <w:rPr/>
              <w:t>Procent îndeplinit (%)</w:t>
            </w:r>
          </w:p>
        </w:tc>
        <w:tc>
          <w:tcPr>
            <w:tcW w:w="1106" w:type="dxa"/>
            <w:tcBorders>
              <w:bottom w:val="single" w:sz="6" w:space="0" w:color="000000"/>
            </w:tcBorders>
            <w:vAlign w:val="bottom"/>
          </w:tcPr>
          <w:p>
            <w:pPr>
              <w:pStyle w:val="Compact"/>
              <w:jc w:val="left"/>
              <w:rPr/>
            </w:pPr>
            <w:r>
              <w:rPr/>
              <w:t>Capacitate instalată (MWh)</w:t>
            </w:r>
          </w:p>
        </w:tc>
        <w:tc>
          <w:tcPr>
            <w:tcW w:w="725" w:type="dxa"/>
            <w:tcBorders>
              <w:bottom w:val="single" w:sz="6" w:space="0" w:color="000000"/>
            </w:tcBorders>
            <w:vAlign w:val="bottom"/>
          </w:tcPr>
          <w:p>
            <w:pPr>
              <w:pStyle w:val="Compact"/>
              <w:jc w:val="left"/>
              <w:rPr/>
            </w:pPr>
            <w:r>
              <w:rPr/>
              <w:t>Amplasare (țară)</w:t>
            </w:r>
          </w:p>
        </w:tc>
        <w:tc>
          <w:tcPr>
            <w:tcW w:w="1031" w:type="dxa"/>
            <w:tcBorders>
              <w:bottom w:val="single" w:sz="6" w:space="0" w:color="000000"/>
            </w:tcBorders>
            <w:vAlign w:val="bottom"/>
          </w:tcPr>
          <w:p>
            <w:pPr>
              <w:pStyle w:val="Compact"/>
              <w:jc w:val="left"/>
              <w:rPr/>
            </w:pPr>
            <w:r>
              <w:rPr/>
              <w:t>Perioada de execuție**</w:t>
            </w:r>
          </w:p>
        </w:tc>
        <w:tc>
          <w:tcPr>
            <w:tcW w:w="419" w:type="dxa"/>
            <w:tcBorders>
              <w:bottom w:val="single" w:sz="6" w:space="0" w:color="000000"/>
            </w:tcBorders>
            <w:vAlign w:val="bottom"/>
          </w:tcPr>
          <w:p>
            <w:pPr>
              <w:pStyle w:val="Compact"/>
              <w:jc w:val="left"/>
              <w:rPr/>
            </w:pPr>
            <w:r>
              <w:rPr/>
              <w:t>Data PIF</w:t>
            </w:r>
          </w:p>
        </w:tc>
        <w:tc>
          <w:tcPr>
            <w:tcW w:w="879" w:type="dxa"/>
            <w:tcBorders>
              <w:bottom w:val="single" w:sz="6" w:space="0" w:color="000000"/>
            </w:tcBorders>
            <w:vAlign w:val="bottom"/>
          </w:tcPr>
          <w:p>
            <w:pPr>
              <w:pStyle w:val="Compact"/>
              <w:jc w:val="left"/>
              <w:rPr/>
            </w:pPr>
            <w:r>
              <w:rPr/>
              <w:t>În operare de (luni)</w:t>
            </w:r>
          </w:p>
        </w:tc>
      </w:tr>
      <w:tr>
        <w:trPr/>
        <w:tc>
          <w:tcPr>
            <w:tcW w:w="267" w:type="dxa"/>
            <w:tcBorders/>
          </w:tcPr>
          <w:p>
            <w:pPr>
              <w:pStyle w:val="Compact"/>
              <w:jc w:val="left"/>
              <w:rPr/>
            </w:pPr>
            <w:r>
              <w:rPr/>
              <w:t>1</w:t>
            </w:r>
          </w:p>
        </w:tc>
        <w:tc>
          <w:tcPr>
            <w:tcW w:w="1450" w:type="dxa"/>
            <w:tcBorders/>
          </w:tcPr>
          <w:p>
            <w:pPr>
              <w:pStyle w:val="Compact"/>
              <w:rPr/>
            </w:pPr>
            <w:r>
              <w:rPr/>
            </w:r>
          </w:p>
        </w:tc>
        <w:tc>
          <w:tcPr>
            <w:tcW w:w="839" w:type="dxa"/>
            <w:tcBorders/>
          </w:tcPr>
          <w:p>
            <w:pPr>
              <w:pStyle w:val="Compact"/>
              <w:rPr/>
            </w:pPr>
            <w:r>
              <w:rPr/>
            </w:r>
          </w:p>
        </w:tc>
        <w:tc>
          <w:tcPr>
            <w:tcW w:w="1031" w:type="dxa"/>
            <w:tcBorders/>
          </w:tcPr>
          <w:p>
            <w:pPr>
              <w:pStyle w:val="Compact"/>
              <w:rPr/>
            </w:pPr>
            <w:r>
              <w:rPr/>
            </w:r>
          </w:p>
        </w:tc>
        <w:tc>
          <w:tcPr>
            <w:tcW w:w="611" w:type="dxa"/>
            <w:tcBorders/>
          </w:tcPr>
          <w:p>
            <w:pPr>
              <w:pStyle w:val="Compact"/>
              <w:rPr/>
            </w:pPr>
            <w:r>
              <w:rPr/>
            </w:r>
          </w:p>
        </w:tc>
        <w:tc>
          <w:tcPr>
            <w:tcW w:w="954" w:type="dxa"/>
            <w:tcBorders/>
          </w:tcPr>
          <w:p>
            <w:pPr>
              <w:pStyle w:val="Compact"/>
              <w:rPr/>
            </w:pPr>
            <w:r>
              <w:rPr/>
            </w:r>
          </w:p>
        </w:tc>
        <w:tc>
          <w:tcPr>
            <w:tcW w:w="1106" w:type="dxa"/>
            <w:tcBorders/>
          </w:tcPr>
          <w:p>
            <w:pPr>
              <w:pStyle w:val="Compact"/>
              <w:rPr/>
            </w:pPr>
            <w:r>
              <w:rPr/>
            </w:r>
          </w:p>
        </w:tc>
        <w:tc>
          <w:tcPr>
            <w:tcW w:w="725" w:type="dxa"/>
            <w:tcBorders/>
          </w:tcPr>
          <w:p>
            <w:pPr>
              <w:pStyle w:val="Compact"/>
              <w:rPr/>
            </w:pPr>
            <w:r>
              <w:rPr/>
            </w:r>
          </w:p>
        </w:tc>
        <w:tc>
          <w:tcPr>
            <w:tcW w:w="1031" w:type="dxa"/>
            <w:tcBorders/>
          </w:tcPr>
          <w:p>
            <w:pPr>
              <w:pStyle w:val="Compact"/>
              <w:rPr/>
            </w:pPr>
            <w:r>
              <w:rPr/>
            </w:r>
          </w:p>
        </w:tc>
        <w:tc>
          <w:tcPr>
            <w:tcW w:w="419" w:type="dxa"/>
            <w:tcBorders/>
          </w:tcPr>
          <w:p>
            <w:pPr>
              <w:pStyle w:val="Compact"/>
              <w:rPr/>
            </w:pPr>
            <w:r>
              <w:rPr/>
            </w:r>
          </w:p>
        </w:tc>
        <w:tc>
          <w:tcPr>
            <w:tcW w:w="879" w:type="dxa"/>
            <w:tcBorders/>
          </w:tcPr>
          <w:p>
            <w:pPr>
              <w:pStyle w:val="Compact"/>
              <w:rPr/>
            </w:pPr>
            <w:r>
              <w:rPr/>
            </w:r>
          </w:p>
        </w:tc>
      </w:tr>
      <w:tr>
        <w:trPr/>
        <w:tc>
          <w:tcPr>
            <w:tcW w:w="267" w:type="dxa"/>
            <w:tcBorders/>
          </w:tcPr>
          <w:p>
            <w:pPr>
              <w:pStyle w:val="Compact"/>
              <w:jc w:val="left"/>
              <w:rPr/>
            </w:pPr>
            <w:r>
              <w:rPr/>
              <w:t>2</w:t>
            </w:r>
          </w:p>
        </w:tc>
        <w:tc>
          <w:tcPr>
            <w:tcW w:w="1450" w:type="dxa"/>
            <w:tcBorders/>
          </w:tcPr>
          <w:p>
            <w:pPr>
              <w:pStyle w:val="Compact"/>
              <w:rPr/>
            </w:pPr>
            <w:r>
              <w:rPr/>
            </w:r>
          </w:p>
        </w:tc>
        <w:tc>
          <w:tcPr>
            <w:tcW w:w="839" w:type="dxa"/>
            <w:tcBorders/>
          </w:tcPr>
          <w:p>
            <w:pPr>
              <w:pStyle w:val="Compact"/>
              <w:rPr/>
            </w:pPr>
            <w:r>
              <w:rPr/>
            </w:r>
          </w:p>
        </w:tc>
        <w:tc>
          <w:tcPr>
            <w:tcW w:w="1031" w:type="dxa"/>
            <w:tcBorders/>
          </w:tcPr>
          <w:p>
            <w:pPr>
              <w:pStyle w:val="Compact"/>
              <w:rPr/>
            </w:pPr>
            <w:r>
              <w:rPr/>
            </w:r>
          </w:p>
        </w:tc>
        <w:tc>
          <w:tcPr>
            <w:tcW w:w="611" w:type="dxa"/>
            <w:tcBorders/>
          </w:tcPr>
          <w:p>
            <w:pPr>
              <w:pStyle w:val="Compact"/>
              <w:rPr/>
            </w:pPr>
            <w:r>
              <w:rPr/>
            </w:r>
          </w:p>
        </w:tc>
        <w:tc>
          <w:tcPr>
            <w:tcW w:w="954" w:type="dxa"/>
            <w:tcBorders/>
          </w:tcPr>
          <w:p>
            <w:pPr>
              <w:pStyle w:val="Compact"/>
              <w:rPr/>
            </w:pPr>
            <w:r>
              <w:rPr/>
            </w:r>
          </w:p>
        </w:tc>
        <w:tc>
          <w:tcPr>
            <w:tcW w:w="1106" w:type="dxa"/>
            <w:tcBorders/>
          </w:tcPr>
          <w:p>
            <w:pPr>
              <w:pStyle w:val="Compact"/>
              <w:rPr/>
            </w:pPr>
            <w:r>
              <w:rPr/>
            </w:r>
          </w:p>
        </w:tc>
        <w:tc>
          <w:tcPr>
            <w:tcW w:w="725" w:type="dxa"/>
            <w:tcBorders/>
          </w:tcPr>
          <w:p>
            <w:pPr>
              <w:pStyle w:val="Compact"/>
              <w:rPr/>
            </w:pPr>
            <w:r>
              <w:rPr/>
            </w:r>
          </w:p>
        </w:tc>
        <w:tc>
          <w:tcPr>
            <w:tcW w:w="1031" w:type="dxa"/>
            <w:tcBorders/>
          </w:tcPr>
          <w:p>
            <w:pPr>
              <w:pStyle w:val="Compact"/>
              <w:rPr/>
            </w:pPr>
            <w:r>
              <w:rPr/>
            </w:r>
          </w:p>
        </w:tc>
        <w:tc>
          <w:tcPr>
            <w:tcW w:w="419" w:type="dxa"/>
            <w:tcBorders/>
          </w:tcPr>
          <w:p>
            <w:pPr>
              <w:pStyle w:val="Compact"/>
              <w:rPr/>
            </w:pPr>
            <w:r>
              <w:rPr/>
            </w:r>
          </w:p>
        </w:tc>
        <w:tc>
          <w:tcPr>
            <w:tcW w:w="879" w:type="dxa"/>
            <w:tcBorders/>
          </w:tcPr>
          <w:p>
            <w:pPr>
              <w:pStyle w:val="Compact"/>
              <w:rPr/>
            </w:pPr>
            <w:r>
              <w:rPr/>
            </w:r>
          </w:p>
        </w:tc>
      </w:tr>
      <w:tr>
        <w:trPr/>
        <w:tc>
          <w:tcPr>
            <w:tcW w:w="267" w:type="dxa"/>
            <w:tcBorders/>
          </w:tcPr>
          <w:p>
            <w:pPr>
              <w:pStyle w:val="Compact"/>
              <w:jc w:val="left"/>
              <w:rPr/>
            </w:pPr>
            <w:r>
              <w:rPr/>
              <w:t>3</w:t>
            </w:r>
          </w:p>
        </w:tc>
        <w:tc>
          <w:tcPr>
            <w:tcW w:w="1450" w:type="dxa"/>
            <w:tcBorders/>
          </w:tcPr>
          <w:p>
            <w:pPr>
              <w:pStyle w:val="Compact"/>
              <w:rPr/>
            </w:pPr>
            <w:r>
              <w:rPr/>
            </w:r>
          </w:p>
        </w:tc>
        <w:tc>
          <w:tcPr>
            <w:tcW w:w="839" w:type="dxa"/>
            <w:tcBorders/>
          </w:tcPr>
          <w:p>
            <w:pPr>
              <w:pStyle w:val="Compact"/>
              <w:rPr/>
            </w:pPr>
            <w:r>
              <w:rPr/>
            </w:r>
          </w:p>
        </w:tc>
        <w:tc>
          <w:tcPr>
            <w:tcW w:w="1031" w:type="dxa"/>
            <w:tcBorders/>
          </w:tcPr>
          <w:p>
            <w:pPr>
              <w:pStyle w:val="Compact"/>
              <w:rPr/>
            </w:pPr>
            <w:r>
              <w:rPr/>
            </w:r>
          </w:p>
        </w:tc>
        <w:tc>
          <w:tcPr>
            <w:tcW w:w="611" w:type="dxa"/>
            <w:tcBorders/>
          </w:tcPr>
          <w:p>
            <w:pPr>
              <w:pStyle w:val="Compact"/>
              <w:rPr/>
            </w:pPr>
            <w:r>
              <w:rPr/>
            </w:r>
          </w:p>
        </w:tc>
        <w:tc>
          <w:tcPr>
            <w:tcW w:w="954" w:type="dxa"/>
            <w:tcBorders/>
          </w:tcPr>
          <w:p>
            <w:pPr>
              <w:pStyle w:val="Compact"/>
              <w:rPr/>
            </w:pPr>
            <w:r>
              <w:rPr/>
            </w:r>
          </w:p>
        </w:tc>
        <w:tc>
          <w:tcPr>
            <w:tcW w:w="1106" w:type="dxa"/>
            <w:tcBorders/>
          </w:tcPr>
          <w:p>
            <w:pPr>
              <w:pStyle w:val="Compact"/>
              <w:rPr/>
            </w:pPr>
            <w:r>
              <w:rPr/>
            </w:r>
          </w:p>
        </w:tc>
        <w:tc>
          <w:tcPr>
            <w:tcW w:w="725" w:type="dxa"/>
            <w:tcBorders/>
          </w:tcPr>
          <w:p>
            <w:pPr>
              <w:pStyle w:val="Compact"/>
              <w:rPr/>
            </w:pPr>
            <w:r>
              <w:rPr/>
            </w:r>
          </w:p>
        </w:tc>
        <w:tc>
          <w:tcPr>
            <w:tcW w:w="1031" w:type="dxa"/>
            <w:tcBorders/>
          </w:tcPr>
          <w:p>
            <w:pPr>
              <w:pStyle w:val="Compact"/>
              <w:rPr/>
            </w:pPr>
            <w:r>
              <w:rPr/>
            </w:r>
          </w:p>
        </w:tc>
        <w:tc>
          <w:tcPr>
            <w:tcW w:w="419" w:type="dxa"/>
            <w:tcBorders/>
          </w:tcPr>
          <w:p>
            <w:pPr>
              <w:pStyle w:val="Compact"/>
              <w:rPr/>
            </w:pPr>
            <w:r>
              <w:rPr/>
            </w:r>
          </w:p>
        </w:tc>
        <w:tc>
          <w:tcPr>
            <w:tcW w:w="879" w:type="dxa"/>
            <w:tcBorders/>
          </w:tcPr>
          <w:p>
            <w:pPr>
              <w:pStyle w:val="Compact"/>
              <w:rPr/>
            </w:pPr>
            <w:r>
              <w:rPr/>
            </w:r>
          </w:p>
        </w:tc>
      </w:tr>
    </w:tbl>
    <w:p>
      <w:pPr>
        <w:pStyle w:val="BodyText"/>
        <w:rPr/>
      </w:pPr>
      <w:r>
        <w:rPr/>
        <w:t>* contractant unic / subcontractant ** data de începere și data de finalizare</w:t>
      </w:r>
    </w:p>
    <w:p>
      <w:pPr>
        <w:pStyle w:val="BodyText"/>
        <w:rPr/>
      </w:pPr>
      <w:r>
        <w:rPr>
          <w:i/>
          <w:iCs/>
        </w:rPr>
        <w:t>Se adaugă rânduri după necesitate. Pentru cerința T1 se cumulează oricâte contracte (§4.5).</w:t>
      </w:r>
    </w:p>
    <w:p>
      <w:pPr>
        <w:pStyle w:val="BodyText"/>
        <w:rPr/>
      </w:pPr>
      <w:r>
        <w:rPr/>
        <w:t xml:space="preserve">Data completării: ……………… Ofertant, </w:t>
      </w:r>
      <w:r>
        <w:rPr>
          <w:i/>
          <w:iCs/>
        </w:rPr>
        <w:t>(semnătură autorizată)</w:t>
      </w:r>
      <w:bookmarkEnd w:id="4"/>
    </w:p>
    <w:p>
      <w:pPr>
        <w:pStyle w:val="Heading2"/>
        <w:rPr/>
      </w:pPr>
      <w:bookmarkStart w:id="5" w:name="formularul-nr.-6-formular-de-ofertă"/>
      <w:r>
        <w:rPr/>
        <w:t>Formularul nr. 6 — Formular de ofertă</w:t>
      </w:r>
    </w:p>
    <w:p>
      <w:pPr>
        <w:pStyle w:val="FirstParagraph"/>
        <w:rPr/>
      </w:pPr>
      <w:r>
        <w:rPr/>
        <w:t xml:space="preserve">Către: </w:t>
      </w:r>
      <w:r>
        <w:rPr>
          <w:b/>
          <w:bCs/>
        </w:rPr>
        <w:t>S.C. DFG Active Imobiliare S.R.L.</w:t>
      </w:r>
    </w:p>
    <w:p>
      <w:pPr>
        <w:pStyle w:val="Compact"/>
        <w:numPr>
          <w:ilvl w:val="0"/>
          <w:numId w:val="14"/>
        </w:numPr>
        <w:rPr/>
      </w:pPr>
      <w:r>
        <w:rPr/>
        <w:t>Examinând Caietul de Sarcini și anexele sale, subsemnatul ……………………, reprezentant al ofertantului ……………………, ne oferim ca, în conformitate cu prevederile și cerințele cuprinse în documentația menționată, să executăm Contractul având ca obiect „Pachet la cheie („EPC turn-key”) care cuprinde: proiectare tehnică completă, furnizare sistem de stocare a energiei electrice în baterii (BESS) cu o capacitate de minim 6,00 MWh, construcție, montaj și punere în funcțiune, inclusiv conectarea la CEF Căzănești”, pentru suma de:</w:t>
      </w:r>
    </w:p>
    <w:p>
      <w:pPr>
        <w:pStyle w:val="FirstParagraph"/>
        <w:rPr/>
      </w:pPr>
      <w:r>
        <w:rPr>
          <w:b/>
          <w:bCs/>
        </w:rPr>
        <w:t>………………</w:t>
      </w:r>
      <w:r>
        <w:rPr>
          <w:b/>
          <w:bCs/>
        </w:rPr>
        <w:t>.. lei fără TVA</w:t>
      </w:r>
      <w:r>
        <w:rPr/>
        <w:t xml:space="preserve"> </w:t>
      </w:r>
      <w:r>
        <w:rPr>
          <w:i/>
          <w:iCs/>
        </w:rPr>
        <w:t>(în cifre și în litere)</w:t>
      </w:r>
      <w:r>
        <w:rPr/>
        <w:t xml:space="preserve">, respectiv </w:t>
      </w:r>
      <w:r>
        <w:rPr>
          <w:b/>
          <w:bCs/>
        </w:rPr>
        <w:t>……………….. euro fără TVA</w:t>
      </w:r>
      <w:r>
        <w:rPr/>
        <w:t xml:space="preserve">, la cursul de referință de la §5.4 din Caietul de Sarcini, pe baza condiției de livrare </w:t>
      </w:r>
      <w:r>
        <w:rPr>
          <w:b/>
          <w:bCs/>
        </w:rPr>
        <w:t>DDP Incoterms 2020, amplasament Căzănești</w:t>
      </w:r>
      <w:r>
        <w:rPr/>
        <w:t>.</w:t>
      </w:r>
    </w:p>
    <w:p>
      <w:pPr>
        <w:pStyle w:val="Compact"/>
        <w:numPr>
          <w:ilvl w:val="0"/>
          <w:numId w:val="15"/>
        </w:numPr>
        <w:rPr/>
      </w:pPr>
      <w:r>
        <w:rPr/>
        <w:t>Ne angajăm să finalizăm Lucrările, inclusiv punerea în funcțiune și obținerea certificatului de conformitate:</w:t>
      </w:r>
    </w:p>
    <w:tbl>
      <w:tblPr>
        <w:tblStyle w:val="Table"/>
        <w:tblW w:w="4900" w:type="pct"/>
        <w:jc w:val="left"/>
        <w:tblInd w:w="108" w:type="dxa"/>
        <w:tblLayout w:type="fixed"/>
        <w:tblCellMar>
          <w:top w:w="0" w:type="dxa"/>
          <w:left w:w="108" w:type="dxa"/>
          <w:bottom w:w="0" w:type="dxa"/>
          <w:right w:w="108" w:type="dxa"/>
        </w:tblCellMar>
        <w:tblLook w:noHBand="0" w:noVBand="0" w:firstColumn="0" w:lastRow="0" w:lastColumn="0" w:firstRow="1" w:val="0020"/>
      </w:tblPr>
      <w:tblGrid>
        <w:gridCol w:w="6795"/>
        <w:gridCol w:w="2423"/>
      </w:tblGrid>
      <w:tr>
        <w:trPr>
          <w:tblHeader w:val="true"/>
        </w:trPr>
        <w:tc>
          <w:tcPr>
            <w:tcW w:w="6795" w:type="dxa"/>
            <w:tcBorders>
              <w:bottom w:val="single" w:sz="6" w:space="0" w:color="000000"/>
            </w:tcBorders>
            <w:vAlign w:val="bottom"/>
          </w:tcPr>
          <w:p>
            <w:pPr>
              <w:pStyle w:val="Compact"/>
              <w:jc w:val="left"/>
              <w:rPr/>
            </w:pPr>
            <w:r>
              <w:rPr/>
              <w:t>Element</w:t>
            </w:r>
          </w:p>
        </w:tc>
        <w:tc>
          <w:tcPr>
            <w:tcW w:w="2423" w:type="dxa"/>
            <w:tcBorders>
              <w:bottom w:val="single" w:sz="6" w:space="0" w:color="000000"/>
            </w:tcBorders>
            <w:vAlign w:val="bottom"/>
          </w:tcPr>
          <w:p>
            <w:pPr>
              <w:pStyle w:val="Compact"/>
              <w:jc w:val="left"/>
              <w:rPr/>
            </w:pPr>
            <w:r>
              <w:rPr/>
              <w:t>Valoare ofertată</w:t>
            </w:r>
          </w:p>
        </w:tc>
      </w:tr>
      <w:tr>
        <w:trPr/>
        <w:tc>
          <w:tcPr>
            <w:tcW w:w="6795" w:type="dxa"/>
            <w:tcBorders/>
          </w:tcPr>
          <w:p>
            <w:pPr>
              <w:pStyle w:val="Compact"/>
              <w:jc w:val="left"/>
              <w:rPr/>
            </w:pPr>
            <w:r>
              <w:rPr>
                <w:b/>
                <w:bCs/>
              </w:rPr>
              <w:t>Durata controlată de Furnizor (S1 + S3)</w:t>
            </w:r>
            <w:r>
              <w:rPr/>
              <w:t>, în luni — prag eliminatoriu §3.3 lit. E8, nepunctat</w:t>
            </w:r>
          </w:p>
        </w:tc>
        <w:tc>
          <w:tcPr>
            <w:tcW w:w="2423" w:type="dxa"/>
            <w:tcBorders/>
          </w:tcPr>
          <w:p>
            <w:pPr>
              <w:pStyle w:val="Compact"/>
              <w:rPr/>
            </w:pPr>
            <w:r>
              <w:rPr/>
            </w:r>
          </w:p>
        </w:tc>
      </w:tr>
      <w:tr>
        <w:trPr/>
        <w:tc>
          <w:tcPr>
            <w:tcW w:w="6795" w:type="dxa"/>
            <w:tcBorders/>
          </w:tcPr>
          <w:p>
            <w:pPr>
              <w:pStyle w:val="Compact"/>
              <w:jc w:val="left"/>
              <w:rPr/>
            </w:pPr>
            <w:r>
              <w:rPr/>
              <w:t>din care: segmentul S1 — până la depunerea DTAC (luni)</w:t>
            </w:r>
          </w:p>
        </w:tc>
        <w:tc>
          <w:tcPr>
            <w:tcW w:w="2423" w:type="dxa"/>
            <w:tcBorders/>
          </w:tcPr>
          <w:p>
            <w:pPr>
              <w:pStyle w:val="Compact"/>
              <w:rPr/>
            </w:pPr>
            <w:r>
              <w:rPr/>
            </w:r>
          </w:p>
        </w:tc>
      </w:tr>
      <w:tr>
        <w:trPr/>
        <w:tc>
          <w:tcPr>
            <w:tcW w:w="6795" w:type="dxa"/>
            <w:tcBorders/>
          </w:tcPr>
          <w:p>
            <w:pPr>
              <w:pStyle w:val="Compact"/>
              <w:jc w:val="left"/>
              <w:rPr/>
            </w:pPr>
            <w:r>
              <w:rPr/>
              <w:t>din care: segmentul S3 — de la emiterea AC până la PIF (luni)</w:t>
            </w:r>
          </w:p>
        </w:tc>
        <w:tc>
          <w:tcPr>
            <w:tcW w:w="2423" w:type="dxa"/>
            <w:tcBorders/>
          </w:tcPr>
          <w:p>
            <w:pPr>
              <w:pStyle w:val="Compact"/>
              <w:rPr/>
            </w:pPr>
            <w:r>
              <w:rPr/>
            </w:r>
          </w:p>
        </w:tc>
      </w:tr>
      <w:tr>
        <w:trPr/>
        <w:tc>
          <w:tcPr>
            <w:tcW w:w="6795" w:type="dxa"/>
            <w:tcBorders/>
          </w:tcPr>
          <w:p>
            <w:pPr>
              <w:pStyle w:val="Compact"/>
              <w:jc w:val="left"/>
              <w:rPr/>
            </w:pPr>
            <w:r>
              <w:rPr/>
              <w:t>Durata de referință a segmentului S2 luată în calcul (săptămâni)</w:t>
            </w:r>
          </w:p>
        </w:tc>
        <w:tc>
          <w:tcPr>
            <w:tcW w:w="2423" w:type="dxa"/>
            <w:tcBorders/>
          </w:tcPr>
          <w:p>
            <w:pPr>
              <w:pStyle w:val="Compact"/>
              <w:jc w:val="left"/>
              <w:rPr/>
            </w:pPr>
            <w:r>
              <w:rPr/>
              <w:t>5</w:t>
            </w:r>
          </w:p>
        </w:tc>
      </w:tr>
      <w:tr>
        <w:trPr/>
        <w:tc>
          <w:tcPr>
            <w:tcW w:w="6795" w:type="dxa"/>
            <w:tcBorders/>
          </w:tcPr>
          <w:p>
            <w:pPr>
              <w:pStyle w:val="Compact"/>
              <w:jc w:val="left"/>
              <w:rPr/>
            </w:pPr>
            <w:r>
              <w:rPr/>
              <w:t>Durata de referință a segmentului S3b luată în calcul (săptămâni)</w:t>
            </w:r>
          </w:p>
        </w:tc>
        <w:tc>
          <w:tcPr>
            <w:tcW w:w="2423" w:type="dxa"/>
            <w:tcBorders/>
          </w:tcPr>
          <w:p>
            <w:pPr>
              <w:pStyle w:val="Compact"/>
              <w:jc w:val="left"/>
              <w:rPr/>
            </w:pPr>
            <w:r>
              <w:rPr/>
              <w:t>3</w:t>
            </w:r>
          </w:p>
        </w:tc>
      </w:tr>
      <w:tr>
        <w:trPr/>
        <w:tc>
          <w:tcPr>
            <w:tcW w:w="6795" w:type="dxa"/>
            <w:tcBorders/>
          </w:tcPr>
          <w:p>
            <w:pPr>
              <w:pStyle w:val="Compact"/>
              <w:jc w:val="left"/>
              <w:rPr/>
            </w:pPr>
            <w:r>
              <w:rPr>
                <w:b/>
                <w:bCs/>
              </w:rPr>
              <w:t>Termen calendaristic total</w:t>
            </w:r>
            <w:r>
              <w:rPr/>
              <w:t xml:space="preserve"> (S1 + S2 + S3 + S3b), în luni</w:t>
            </w:r>
          </w:p>
        </w:tc>
        <w:tc>
          <w:tcPr>
            <w:tcW w:w="2423" w:type="dxa"/>
            <w:tcBorders/>
          </w:tcPr>
          <w:p>
            <w:pPr>
              <w:pStyle w:val="Compact"/>
              <w:rPr/>
            </w:pPr>
            <w:r>
              <w:rPr/>
            </w:r>
          </w:p>
        </w:tc>
      </w:tr>
      <w:tr>
        <w:trPr/>
        <w:tc>
          <w:tcPr>
            <w:tcW w:w="6795" w:type="dxa"/>
            <w:tcBorders/>
          </w:tcPr>
          <w:p>
            <w:pPr>
              <w:pStyle w:val="Compact"/>
              <w:jc w:val="left"/>
              <w:rPr/>
            </w:pPr>
            <w:r>
              <w:rPr/>
              <w:t>Luna de depunere a documentației pentru autorizația de construire</w:t>
            </w:r>
          </w:p>
        </w:tc>
        <w:tc>
          <w:tcPr>
            <w:tcW w:w="2423" w:type="dxa"/>
            <w:tcBorders/>
          </w:tcPr>
          <w:p>
            <w:pPr>
              <w:pStyle w:val="Compact"/>
              <w:rPr/>
            </w:pPr>
            <w:r>
              <w:rPr/>
            </w:r>
          </w:p>
        </w:tc>
      </w:tr>
      <w:tr>
        <w:trPr/>
        <w:tc>
          <w:tcPr>
            <w:tcW w:w="6795" w:type="dxa"/>
            <w:tcBorders/>
          </w:tcPr>
          <w:p>
            <w:pPr>
              <w:pStyle w:val="Compact"/>
              <w:jc w:val="left"/>
              <w:rPr/>
            </w:pPr>
            <w:r>
              <w:rPr/>
              <w:t>Luna de depunere a notificării la Operatorul de Distribuție</w:t>
            </w:r>
          </w:p>
        </w:tc>
        <w:tc>
          <w:tcPr>
            <w:tcW w:w="2423" w:type="dxa"/>
            <w:tcBorders/>
          </w:tcPr>
          <w:p>
            <w:pPr>
              <w:pStyle w:val="Compact"/>
              <w:rPr/>
            </w:pPr>
            <w:r>
              <w:rPr/>
            </w:r>
          </w:p>
        </w:tc>
      </w:tr>
    </w:tbl>
    <w:p>
      <w:pPr>
        <w:pStyle w:val="Compact"/>
        <w:numPr>
          <w:ilvl w:val="0"/>
          <w:numId w:val="16"/>
        </w:numPr>
        <w:rPr/>
      </w:pPr>
      <w:r>
        <w:rPr/>
        <w:t xml:space="preserve">Declarăm următoarele </w:t>
      </w:r>
      <w:r>
        <w:rPr>
          <w:b/>
          <w:bCs/>
        </w:rPr>
        <w:t>Valori Garantate</w:t>
      </w:r>
      <w:r>
        <w:rPr/>
        <w:t>, care devin obligații contractuale:</w:t>
      </w:r>
    </w:p>
    <w:tbl>
      <w:tblPr>
        <w:tblStyle w:val="Table"/>
        <w:tblW w:w="4950" w:type="pct"/>
        <w:jc w:val="left"/>
        <w:tblInd w:w="108" w:type="dxa"/>
        <w:tblLayout w:type="fixed"/>
        <w:tblCellMar>
          <w:top w:w="0" w:type="dxa"/>
          <w:left w:w="108" w:type="dxa"/>
          <w:bottom w:w="0" w:type="dxa"/>
          <w:right w:w="108" w:type="dxa"/>
        </w:tblCellMar>
        <w:tblLook w:noHBand="0" w:noVBand="0" w:firstColumn="0" w:lastRow="0" w:lastColumn="0" w:firstRow="1" w:val="0020"/>
      </w:tblPr>
      <w:tblGrid>
        <w:gridCol w:w="830"/>
        <w:gridCol w:w="7651"/>
        <w:gridCol w:w="831"/>
      </w:tblGrid>
      <w:tr>
        <w:trPr>
          <w:tblHeader w:val="true"/>
        </w:trPr>
        <w:tc>
          <w:tcPr>
            <w:tcW w:w="830" w:type="dxa"/>
            <w:tcBorders>
              <w:bottom w:val="single" w:sz="6" w:space="0" w:color="000000"/>
            </w:tcBorders>
            <w:vAlign w:val="bottom"/>
          </w:tcPr>
          <w:p>
            <w:pPr>
              <w:pStyle w:val="Compact"/>
              <w:jc w:val="left"/>
              <w:rPr/>
            </w:pPr>
            <w:r>
              <w:rPr/>
              <w:t>#</w:t>
            </w:r>
          </w:p>
        </w:tc>
        <w:tc>
          <w:tcPr>
            <w:tcW w:w="7651" w:type="dxa"/>
            <w:tcBorders>
              <w:bottom w:val="single" w:sz="6" w:space="0" w:color="000000"/>
            </w:tcBorders>
            <w:vAlign w:val="bottom"/>
          </w:tcPr>
          <w:p>
            <w:pPr>
              <w:pStyle w:val="Compact"/>
              <w:jc w:val="left"/>
              <w:rPr/>
            </w:pPr>
            <w:r>
              <w:rPr/>
              <w:t>Parametru</w:t>
            </w:r>
          </w:p>
        </w:tc>
        <w:tc>
          <w:tcPr>
            <w:tcW w:w="831" w:type="dxa"/>
            <w:tcBorders>
              <w:bottom w:val="single" w:sz="6" w:space="0" w:color="000000"/>
            </w:tcBorders>
            <w:vAlign w:val="bottom"/>
          </w:tcPr>
          <w:p>
            <w:pPr>
              <w:pStyle w:val="Compact"/>
              <w:jc w:val="left"/>
              <w:rPr/>
            </w:pPr>
            <w:r>
              <w:rPr/>
              <w:t>Valoare garantată</w:t>
            </w:r>
          </w:p>
        </w:tc>
      </w:tr>
      <w:tr>
        <w:trPr/>
        <w:tc>
          <w:tcPr>
            <w:tcW w:w="830" w:type="dxa"/>
            <w:tcBorders/>
          </w:tcPr>
          <w:p>
            <w:pPr>
              <w:pStyle w:val="Compact"/>
              <w:jc w:val="left"/>
              <w:rPr/>
            </w:pPr>
            <w:r>
              <w:rPr/>
              <w:t>V1</w:t>
            </w:r>
          </w:p>
        </w:tc>
        <w:tc>
          <w:tcPr>
            <w:tcW w:w="7651" w:type="dxa"/>
            <w:tcBorders/>
          </w:tcPr>
          <w:p>
            <w:pPr>
              <w:pStyle w:val="Compact"/>
              <w:jc w:val="left"/>
              <w:rPr/>
            </w:pPr>
            <w:r>
              <w:rPr/>
              <w:t>Capacitate nominală c.c. la BOL, 25 °C, conform IEC 62933-2-1 (MWh)</w:t>
            </w:r>
          </w:p>
        </w:tc>
        <w:tc>
          <w:tcPr>
            <w:tcW w:w="831" w:type="dxa"/>
            <w:tcBorders/>
          </w:tcPr>
          <w:p>
            <w:pPr>
              <w:pStyle w:val="Compact"/>
              <w:rPr/>
            </w:pPr>
            <w:r>
              <w:rPr/>
            </w:r>
          </w:p>
        </w:tc>
      </w:tr>
      <w:tr>
        <w:trPr/>
        <w:tc>
          <w:tcPr>
            <w:tcW w:w="830" w:type="dxa"/>
            <w:tcBorders/>
          </w:tcPr>
          <w:p>
            <w:pPr>
              <w:pStyle w:val="Compact"/>
              <w:jc w:val="left"/>
              <w:rPr/>
            </w:pPr>
            <w:r>
              <w:rPr/>
              <w:t>V2</w:t>
            </w:r>
          </w:p>
        </w:tc>
        <w:tc>
          <w:tcPr>
            <w:tcW w:w="7651" w:type="dxa"/>
            <w:tcBorders/>
          </w:tcPr>
          <w:p>
            <w:pPr>
              <w:pStyle w:val="Compact"/>
              <w:jc w:val="left"/>
              <w:rPr/>
            </w:pPr>
            <w:r>
              <w:rPr/>
              <w:t>Energie utilizabilă c.c., la începutul duratei de viață (MWh), la adâncimea de descărcare declarată la V2a</w:t>
            </w:r>
          </w:p>
        </w:tc>
        <w:tc>
          <w:tcPr>
            <w:tcW w:w="831" w:type="dxa"/>
            <w:tcBorders/>
          </w:tcPr>
          <w:p>
            <w:pPr>
              <w:pStyle w:val="Compact"/>
              <w:rPr/>
            </w:pPr>
            <w:r>
              <w:rPr/>
            </w:r>
          </w:p>
        </w:tc>
      </w:tr>
      <w:tr>
        <w:trPr/>
        <w:tc>
          <w:tcPr>
            <w:tcW w:w="830" w:type="dxa"/>
            <w:tcBorders/>
          </w:tcPr>
          <w:p>
            <w:pPr>
              <w:pStyle w:val="Compact"/>
              <w:jc w:val="left"/>
              <w:rPr/>
            </w:pPr>
            <w:r>
              <w:rPr/>
              <w:t>V2a</w:t>
            </w:r>
          </w:p>
        </w:tc>
        <w:tc>
          <w:tcPr>
            <w:tcW w:w="7651" w:type="dxa"/>
            <w:tcBorders/>
          </w:tcPr>
          <w:p>
            <w:pPr>
              <w:pStyle w:val="Compact"/>
              <w:jc w:val="left"/>
              <w:rPr/>
            </w:pPr>
            <w:r>
              <w:rPr/>
              <w:t xml:space="preserve">Adâncimea de descărcare declarată, </w:t>
            </w:r>
            <w:r>
              <w:rPr>
                <w:b/>
                <w:bCs/>
              </w:rPr>
              <w:t>minimum 90%</w:t>
            </w:r>
            <w:r>
              <w:rPr/>
              <w:t xml:space="preserve"> din capacitatea nominală, aflată în fereastra garantată de producătorul celulei (%)</w:t>
            </w:r>
          </w:p>
        </w:tc>
        <w:tc>
          <w:tcPr>
            <w:tcW w:w="831" w:type="dxa"/>
            <w:tcBorders/>
          </w:tcPr>
          <w:p>
            <w:pPr>
              <w:pStyle w:val="Compact"/>
              <w:rPr/>
            </w:pPr>
            <w:r>
              <w:rPr/>
            </w:r>
          </w:p>
        </w:tc>
      </w:tr>
      <w:tr>
        <w:trPr/>
        <w:tc>
          <w:tcPr>
            <w:tcW w:w="830" w:type="dxa"/>
            <w:tcBorders/>
          </w:tcPr>
          <w:p>
            <w:pPr>
              <w:pStyle w:val="Compact"/>
              <w:jc w:val="left"/>
              <w:rPr/>
            </w:pPr>
            <w:r>
              <w:rPr/>
              <w:t>V3</w:t>
            </w:r>
          </w:p>
        </w:tc>
        <w:tc>
          <w:tcPr>
            <w:tcW w:w="7651" w:type="dxa"/>
            <w:tcBorders/>
          </w:tcPr>
          <w:p>
            <w:pPr>
              <w:pStyle w:val="Compact"/>
              <w:jc w:val="left"/>
              <w:rPr/>
            </w:pPr>
            <w:r>
              <w:rPr>
                <w:b/>
                <w:bCs/>
              </w:rPr>
              <w:t>Energie descărcată la bornele de curent alternativ ale instalației de stocare (punctul de măsurare M1), ciclu complet 95%→5% SoC, 25 °C, cu auxiliare (MWh)</w:t>
            </w:r>
            <w:r>
              <w:rPr/>
              <w:t xml:space="preserve"> — se verifică prin test la PIF</w:t>
            </w:r>
          </w:p>
        </w:tc>
        <w:tc>
          <w:tcPr>
            <w:tcW w:w="831" w:type="dxa"/>
            <w:tcBorders/>
          </w:tcPr>
          <w:p>
            <w:pPr>
              <w:pStyle w:val="Compact"/>
              <w:rPr/>
            </w:pPr>
            <w:r>
              <w:rPr/>
            </w:r>
          </w:p>
        </w:tc>
      </w:tr>
      <w:tr>
        <w:trPr/>
        <w:tc>
          <w:tcPr>
            <w:tcW w:w="830" w:type="dxa"/>
            <w:tcBorders/>
          </w:tcPr>
          <w:p>
            <w:pPr>
              <w:pStyle w:val="Compact"/>
              <w:jc w:val="left"/>
              <w:rPr/>
            </w:pPr>
            <w:r>
              <w:rPr/>
              <w:t>V4</w:t>
            </w:r>
          </w:p>
        </w:tc>
        <w:tc>
          <w:tcPr>
            <w:tcW w:w="7651" w:type="dxa"/>
            <w:tcBorders/>
          </w:tcPr>
          <w:p>
            <w:pPr>
              <w:pStyle w:val="Compact"/>
              <w:jc w:val="left"/>
              <w:rPr/>
            </w:pPr>
            <w:r>
              <w:rPr>
                <w:b/>
                <w:bCs/>
              </w:rPr>
              <w:t>Energie descărcată cumulată garantată</w:t>
            </w:r>
            <w:r>
              <w:rPr/>
              <w:t xml:space="preserve"> până la retenție ≥ 70% SoH, la 25 °C, în regimul R2 (MWh) — </w:t>
            </w:r>
            <w:r>
              <w:rPr>
                <w:i/>
                <w:iCs/>
              </w:rPr>
              <w:t>valoare declarată, nepunctată; face parte din declarațiile și garanțiile de la §3.5¹</w:t>
            </w:r>
          </w:p>
        </w:tc>
        <w:tc>
          <w:tcPr>
            <w:tcW w:w="831" w:type="dxa"/>
            <w:tcBorders/>
          </w:tcPr>
          <w:p>
            <w:pPr>
              <w:pStyle w:val="Compact"/>
              <w:rPr/>
            </w:pPr>
            <w:r>
              <w:rPr/>
            </w:r>
          </w:p>
        </w:tc>
      </w:tr>
      <w:tr>
        <w:trPr/>
        <w:tc>
          <w:tcPr>
            <w:tcW w:w="830" w:type="dxa"/>
            <w:tcBorders/>
          </w:tcPr>
          <w:p>
            <w:pPr>
              <w:pStyle w:val="Compact"/>
              <w:jc w:val="left"/>
              <w:rPr/>
            </w:pPr>
            <w:r>
              <w:rPr/>
              <w:t>V5</w:t>
            </w:r>
          </w:p>
        </w:tc>
        <w:tc>
          <w:tcPr>
            <w:tcW w:w="7651" w:type="dxa"/>
            <w:tcBorders/>
          </w:tcPr>
          <w:p>
            <w:pPr>
              <w:pStyle w:val="Compact"/>
              <w:jc w:val="left"/>
              <w:rPr/>
            </w:pPr>
            <w:r>
              <w:rPr>
                <w:b/>
                <w:bCs/>
              </w:rPr>
              <w:t>Randament AC-AC la nivel de sistem, la bornele de curent alternativ ale instalației de stocare, cu auxiliare, la 2.500 kW</w:t>
            </w:r>
            <w:r>
              <w:rPr/>
              <w:t xml:space="preserve"> (%)</w:t>
            </w:r>
          </w:p>
        </w:tc>
        <w:tc>
          <w:tcPr>
            <w:tcW w:w="831" w:type="dxa"/>
            <w:tcBorders/>
          </w:tcPr>
          <w:p>
            <w:pPr>
              <w:pStyle w:val="Compact"/>
              <w:rPr/>
            </w:pPr>
            <w:r>
              <w:rPr/>
            </w:r>
          </w:p>
        </w:tc>
      </w:tr>
      <w:tr>
        <w:trPr/>
        <w:tc>
          <w:tcPr>
            <w:tcW w:w="830" w:type="dxa"/>
            <w:tcBorders/>
          </w:tcPr>
          <w:p>
            <w:pPr>
              <w:pStyle w:val="Compact"/>
              <w:jc w:val="left"/>
              <w:rPr/>
            </w:pPr>
            <w:r>
              <w:rPr/>
              <w:t>V6a1</w:t>
            </w:r>
          </w:p>
        </w:tc>
        <w:tc>
          <w:tcPr>
            <w:tcW w:w="7651" w:type="dxa"/>
            <w:tcBorders/>
          </w:tcPr>
          <w:p>
            <w:pPr>
              <w:pStyle w:val="Compact"/>
              <w:jc w:val="left"/>
              <w:rPr/>
            </w:pPr>
            <w:r>
              <w:rPr/>
              <w:t xml:space="preserve">Componenta fixă (de repaus) a consumului auxiliarelor (kW), la </w:t>
            </w:r>
            <w:r>
              <w:rPr>
                <w:b/>
                <w:bCs/>
              </w:rPr>
              <w:t>−10 °C</w:t>
            </w:r>
            <w:r>
              <w:rPr/>
              <w:t xml:space="preserve"> — </w:t>
            </w:r>
            <w:r>
              <w:rPr>
                <w:i/>
                <w:iCs/>
              </w:rPr>
              <w:t>declarată, nepunctată; servește estimării consumului anual de încălzire</w:t>
            </w:r>
          </w:p>
        </w:tc>
        <w:tc>
          <w:tcPr>
            <w:tcW w:w="831" w:type="dxa"/>
            <w:tcBorders/>
          </w:tcPr>
          <w:p>
            <w:pPr>
              <w:pStyle w:val="Compact"/>
              <w:rPr/>
            </w:pPr>
            <w:r>
              <w:rPr/>
            </w:r>
          </w:p>
        </w:tc>
      </w:tr>
      <w:tr>
        <w:trPr/>
        <w:tc>
          <w:tcPr>
            <w:tcW w:w="830" w:type="dxa"/>
            <w:tcBorders/>
          </w:tcPr>
          <w:p>
            <w:pPr>
              <w:pStyle w:val="Compact"/>
              <w:jc w:val="left"/>
              <w:rPr/>
            </w:pPr>
            <w:r>
              <w:rPr>
                <w:b/>
                <w:bCs/>
              </w:rPr>
              <w:t>V6a2</w:t>
            </w:r>
          </w:p>
        </w:tc>
        <w:tc>
          <w:tcPr>
            <w:tcW w:w="7651" w:type="dxa"/>
            <w:tcBorders/>
          </w:tcPr>
          <w:p>
            <w:pPr>
              <w:pStyle w:val="Compact"/>
              <w:jc w:val="left"/>
              <w:rPr/>
            </w:pPr>
            <w:r>
              <w:rPr>
                <w:b/>
                <w:bCs/>
              </w:rPr>
              <w:t>Componenta fixă (de repaus) a consumului auxiliarelor (kW), la +25 °C</w:t>
            </w:r>
            <w:r>
              <w:rPr/>
              <w:t xml:space="preserve"> — </w:t>
            </w:r>
            <w:r>
              <w:rPr>
                <w:i/>
                <w:iCs/>
              </w:rPr>
              <w:t>valoarea punctată la §7.1 subcriteriul A3; verificată prin test la punerea în funcțiune, conform art. 9.5 lit. (g) din modelul de contract</w:t>
            </w:r>
          </w:p>
        </w:tc>
        <w:tc>
          <w:tcPr>
            <w:tcW w:w="831" w:type="dxa"/>
            <w:tcBorders/>
          </w:tcPr>
          <w:p>
            <w:pPr>
              <w:pStyle w:val="Compact"/>
              <w:rPr/>
            </w:pPr>
            <w:r>
              <w:rPr/>
            </w:r>
          </w:p>
        </w:tc>
      </w:tr>
      <w:tr>
        <w:trPr/>
        <w:tc>
          <w:tcPr>
            <w:tcW w:w="830" w:type="dxa"/>
            <w:tcBorders/>
          </w:tcPr>
          <w:p>
            <w:pPr>
              <w:pStyle w:val="Compact"/>
              <w:jc w:val="left"/>
              <w:rPr/>
            </w:pPr>
            <w:r>
              <w:rPr/>
              <w:t>V6a3</w:t>
            </w:r>
          </w:p>
        </w:tc>
        <w:tc>
          <w:tcPr>
            <w:tcW w:w="7651" w:type="dxa"/>
            <w:tcBorders/>
          </w:tcPr>
          <w:p>
            <w:pPr>
              <w:pStyle w:val="Compact"/>
              <w:jc w:val="left"/>
              <w:rPr/>
            </w:pPr>
            <w:r>
              <w:rPr/>
              <w:t xml:space="preserve">Componenta fixă (de repaus) a consumului auxiliarelor (kW), la </w:t>
            </w:r>
            <w:r>
              <w:rPr>
                <w:b/>
                <w:bCs/>
              </w:rPr>
              <w:t>temperatura ambiantă maximă de proiectare</w:t>
            </w:r>
            <w:r>
              <w:rPr/>
              <w:t xml:space="preserve"> de la §3.0 (40 °C) — </w:t>
            </w:r>
            <w:r>
              <w:rPr>
                <w:i/>
                <w:iCs/>
              </w:rPr>
              <w:t>declarată, nepunctată; servește estimării consumului anual de climatizare</w:t>
            </w:r>
          </w:p>
        </w:tc>
        <w:tc>
          <w:tcPr>
            <w:tcW w:w="831" w:type="dxa"/>
            <w:tcBorders/>
          </w:tcPr>
          <w:p>
            <w:pPr>
              <w:pStyle w:val="Compact"/>
              <w:rPr/>
            </w:pPr>
            <w:r>
              <w:rPr/>
            </w:r>
          </w:p>
        </w:tc>
      </w:tr>
      <w:tr>
        <w:trPr/>
        <w:tc>
          <w:tcPr>
            <w:tcW w:w="830" w:type="dxa"/>
            <w:tcBorders/>
          </w:tcPr>
          <w:p>
            <w:pPr>
              <w:pStyle w:val="Compact"/>
              <w:jc w:val="left"/>
              <w:rPr/>
            </w:pPr>
            <w:r>
              <w:rPr/>
              <w:t>V6b</w:t>
            </w:r>
          </w:p>
        </w:tc>
        <w:tc>
          <w:tcPr>
            <w:tcW w:w="7651" w:type="dxa"/>
            <w:tcBorders/>
          </w:tcPr>
          <w:p>
            <w:pPr>
              <w:pStyle w:val="Compact"/>
              <w:jc w:val="left"/>
              <w:rPr/>
            </w:pPr>
            <w:r>
              <w:rPr/>
              <w:t xml:space="preserve">Componenta variabilă a consumului auxiliarelor, % din energia vehiculată — </w:t>
            </w:r>
            <w:r>
              <w:rPr>
                <w:i/>
                <w:iCs/>
              </w:rPr>
              <w:t>declarată, nepunctată; este cuprinsă în randamentul de la V5</w:t>
            </w:r>
          </w:p>
        </w:tc>
        <w:tc>
          <w:tcPr>
            <w:tcW w:w="831" w:type="dxa"/>
            <w:tcBorders/>
          </w:tcPr>
          <w:p>
            <w:pPr>
              <w:pStyle w:val="Compact"/>
              <w:rPr/>
            </w:pPr>
            <w:r>
              <w:rPr/>
            </w:r>
          </w:p>
        </w:tc>
      </w:tr>
      <w:tr>
        <w:trPr/>
        <w:tc>
          <w:tcPr>
            <w:tcW w:w="830" w:type="dxa"/>
            <w:tcBorders/>
          </w:tcPr>
          <w:p>
            <w:pPr>
              <w:pStyle w:val="Compact"/>
              <w:jc w:val="left"/>
              <w:rPr/>
            </w:pPr>
            <w:r>
              <w:rPr/>
              <w:t>V7</w:t>
            </w:r>
          </w:p>
        </w:tc>
        <w:tc>
          <w:tcPr>
            <w:tcW w:w="7651" w:type="dxa"/>
            <w:tcBorders/>
          </w:tcPr>
          <w:p>
            <w:pPr>
              <w:pStyle w:val="Compact"/>
              <w:jc w:val="left"/>
              <w:rPr/>
            </w:pPr>
            <w:r>
              <w:rPr/>
              <w:t>Disponibilitate garantată (%), conform definiției de la §3.3.2</w:t>
            </w:r>
          </w:p>
        </w:tc>
        <w:tc>
          <w:tcPr>
            <w:tcW w:w="831" w:type="dxa"/>
            <w:tcBorders/>
          </w:tcPr>
          <w:p>
            <w:pPr>
              <w:pStyle w:val="Compact"/>
              <w:rPr/>
            </w:pPr>
            <w:r>
              <w:rPr/>
            </w:r>
          </w:p>
        </w:tc>
      </w:tr>
      <w:tr>
        <w:trPr/>
        <w:tc>
          <w:tcPr>
            <w:tcW w:w="830" w:type="dxa"/>
            <w:tcBorders/>
          </w:tcPr>
          <w:p>
            <w:pPr>
              <w:pStyle w:val="Compact"/>
              <w:jc w:val="left"/>
              <w:rPr/>
            </w:pPr>
            <w:r>
              <w:rPr/>
              <w:t>V8</w:t>
            </w:r>
          </w:p>
        </w:tc>
        <w:tc>
          <w:tcPr>
            <w:tcW w:w="7651" w:type="dxa"/>
            <w:tcBorders/>
          </w:tcPr>
          <w:p>
            <w:pPr>
              <w:pStyle w:val="Compact"/>
              <w:jc w:val="left"/>
              <w:rPr/>
            </w:pPr>
            <w:r>
              <w:rPr/>
              <w:t>Indisponibilitate planificată garantată (ore/an)</w:t>
            </w:r>
          </w:p>
        </w:tc>
        <w:tc>
          <w:tcPr>
            <w:tcW w:w="831" w:type="dxa"/>
            <w:tcBorders/>
          </w:tcPr>
          <w:p>
            <w:pPr>
              <w:pStyle w:val="Compact"/>
              <w:rPr/>
            </w:pPr>
            <w:r>
              <w:rPr/>
            </w:r>
          </w:p>
        </w:tc>
      </w:tr>
      <w:tr>
        <w:trPr/>
        <w:tc>
          <w:tcPr>
            <w:tcW w:w="830" w:type="dxa"/>
            <w:tcBorders/>
          </w:tcPr>
          <w:p>
            <w:pPr>
              <w:pStyle w:val="Compact"/>
              <w:jc w:val="left"/>
              <w:rPr/>
            </w:pPr>
            <w:r>
              <w:rPr/>
              <w:t>V9</w:t>
            </w:r>
          </w:p>
        </w:tc>
        <w:tc>
          <w:tcPr>
            <w:tcW w:w="7651" w:type="dxa"/>
            <w:tcBorders/>
          </w:tcPr>
          <w:p>
            <w:pPr>
              <w:pStyle w:val="Compact"/>
              <w:jc w:val="left"/>
              <w:rPr/>
            </w:pPr>
            <w:r>
              <w:rPr/>
              <w:t xml:space="preserve">Timp de intervenție </w:t>
            </w:r>
            <w:r>
              <w:rPr>
                <w:b/>
                <w:bCs/>
              </w:rPr>
              <w:t>garantat</w:t>
            </w:r>
            <w:r>
              <w:rPr/>
              <w:t xml:space="preserve"> pe amplasament (ore)</w:t>
            </w:r>
          </w:p>
        </w:tc>
        <w:tc>
          <w:tcPr>
            <w:tcW w:w="831" w:type="dxa"/>
            <w:tcBorders/>
          </w:tcPr>
          <w:p>
            <w:pPr>
              <w:pStyle w:val="Compact"/>
              <w:rPr/>
            </w:pPr>
            <w:r>
              <w:rPr/>
            </w:r>
          </w:p>
        </w:tc>
      </w:tr>
      <w:tr>
        <w:trPr/>
        <w:tc>
          <w:tcPr>
            <w:tcW w:w="830" w:type="dxa"/>
            <w:tcBorders/>
          </w:tcPr>
          <w:p>
            <w:pPr>
              <w:pStyle w:val="Compact"/>
              <w:jc w:val="left"/>
              <w:rPr/>
            </w:pPr>
            <w:r>
              <w:rPr/>
              <w:t>V11</w:t>
            </w:r>
          </w:p>
        </w:tc>
        <w:tc>
          <w:tcPr>
            <w:tcW w:w="7651" w:type="dxa"/>
            <w:tcBorders/>
          </w:tcPr>
          <w:p>
            <w:pPr>
              <w:pStyle w:val="Compact"/>
              <w:jc w:val="left"/>
              <w:rPr/>
            </w:pPr>
            <w:r>
              <w:rPr/>
              <w:t>Putere garantată fără derating pe fereastra 95%→5% SoC, la temperatura de proiectare (kW)</w:t>
            </w:r>
          </w:p>
        </w:tc>
        <w:tc>
          <w:tcPr>
            <w:tcW w:w="831" w:type="dxa"/>
            <w:tcBorders/>
          </w:tcPr>
          <w:p>
            <w:pPr>
              <w:pStyle w:val="Compact"/>
              <w:rPr/>
            </w:pPr>
            <w:r>
              <w:rPr/>
            </w:r>
          </w:p>
        </w:tc>
      </w:tr>
      <w:tr>
        <w:trPr/>
        <w:tc>
          <w:tcPr>
            <w:tcW w:w="830" w:type="dxa"/>
            <w:tcBorders/>
          </w:tcPr>
          <w:p>
            <w:pPr>
              <w:pStyle w:val="Compact"/>
              <w:jc w:val="left"/>
              <w:rPr/>
            </w:pPr>
            <w:r>
              <w:rPr/>
              <w:t>V12</w:t>
            </w:r>
          </w:p>
        </w:tc>
        <w:tc>
          <w:tcPr>
            <w:tcW w:w="7651" w:type="dxa"/>
            <w:tcBorders/>
          </w:tcPr>
          <w:p>
            <w:pPr>
              <w:pStyle w:val="Compact"/>
              <w:jc w:val="left"/>
              <w:rPr/>
            </w:pPr>
            <w:r>
              <w:rPr/>
              <w:t>Temperatura ambiantă maximă la care se garantează V11 și V5 (°C)</w:t>
            </w:r>
          </w:p>
        </w:tc>
        <w:tc>
          <w:tcPr>
            <w:tcW w:w="831" w:type="dxa"/>
            <w:tcBorders/>
          </w:tcPr>
          <w:p>
            <w:pPr>
              <w:pStyle w:val="Compact"/>
              <w:rPr/>
            </w:pPr>
            <w:r>
              <w:rPr/>
            </w:r>
          </w:p>
        </w:tc>
      </w:tr>
      <w:tr>
        <w:trPr/>
        <w:tc>
          <w:tcPr>
            <w:tcW w:w="830" w:type="dxa"/>
            <w:tcBorders/>
          </w:tcPr>
          <w:p>
            <w:pPr>
              <w:pStyle w:val="Compact"/>
              <w:jc w:val="left"/>
              <w:rPr/>
            </w:pPr>
            <w:r>
              <w:rPr/>
              <w:t>V17</w:t>
            </w:r>
          </w:p>
        </w:tc>
        <w:tc>
          <w:tcPr>
            <w:tcW w:w="7651" w:type="dxa"/>
            <w:tcBorders/>
          </w:tcPr>
          <w:p>
            <w:pPr>
              <w:pStyle w:val="Compact"/>
              <w:jc w:val="left"/>
              <w:rPr/>
            </w:pPr>
            <w:r>
              <w:rPr>
                <w:b/>
                <w:bCs/>
              </w:rPr>
              <w:t>Energia descărcată cumulată, măsurată la M1, până la care capacitatea nominală rămâne ≥ 6,00 MWh</w:t>
            </w:r>
            <w:r>
              <w:rPr/>
              <w:t xml:space="preserve"> (MWh) — mărimea punctată la §7.1 A1</w:t>
            </w:r>
          </w:p>
        </w:tc>
        <w:tc>
          <w:tcPr>
            <w:tcW w:w="831" w:type="dxa"/>
            <w:tcBorders/>
          </w:tcPr>
          <w:p>
            <w:pPr>
              <w:pStyle w:val="Compact"/>
              <w:rPr/>
            </w:pPr>
            <w:r>
              <w:rPr/>
            </w:r>
          </w:p>
        </w:tc>
      </w:tr>
      <w:tr>
        <w:trPr/>
        <w:tc>
          <w:tcPr>
            <w:tcW w:w="830" w:type="dxa"/>
            <w:tcBorders/>
          </w:tcPr>
          <w:p>
            <w:pPr>
              <w:pStyle w:val="Compact"/>
              <w:jc w:val="left"/>
              <w:rPr/>
            </w:pPr>
            <w:r>
              <w:rPr/>
              <w:t>V18</w:t>
            </w:r>
          </w:p>
        </w:tc>
        <w:tc>
          <w:tcPr>
            <w:tcW w:w="7651" w:type="dxa"/>
            <w:tcBorders/>
          </w:tcPr>
          <w:p>
            <w:pPr>
              <w:pStyle w:val="Compact"/>
              <w:jc w:val="left"/>
              <w:rPr/>
            </w:pPr>
            <w:r>
              <w:rPr>
                <w:b/>
                <w:bCs/>
              </w:rPr>
              <w:t>Durata garanției integrale a unității de conversie</w:t>
            </w:r>
            <w:r>
              <w:rPr/>
              <w:t xml:space="preserve"> (ani de la PIF) — mărimea punctată la §7.1 A5</w:t>
            </w:r>
          </w:p>
        </w:tc>
        <w:tc>
          <w:tcPr>
            <w:tcW w:w="831" w:type="dxa"/>
            <w:tcBorders/>
          </w:tcPr>
          <w:p>
            <w:pPr>
              <w:pStyle w:val="Compact"/>
              <w:rPr/>
            </w:pPr>
            <w:r>
              <w:rPr/>
            </w:r>
          </w:p>
        </w:tc>
      </w:tr>
      <w:tr>
        <w:trPr/>
        <w:tc>
          <w:tcPr>
            <w:tcW w:w="830" w:type="dxa"/>
            <w:tcBorders/>
          </w:tcPr>
          <w:p>
            <w:pPr>
              <w:pStyle w:val="Compact"/>
              <w:jc w:val="left"/>
              <w:rPr/>
            </w:pPr>
            <w:r>
              <w:rPr/>
              <w:t>V15</w:t>
            </w:r>
          </w:p>
        </w:tc>
        <w:tc>
          <w:tcPr>
            <w:tcW w:w="7651" w:type="dxa"/>
            <w:tcBorders/>
          </w:tcPr>
          <w:p>
            <w:pPr>
              <w:pStyle w:val="Compact"/>
              <w:jc w:val="left"/>
              <w:rPr/>
            </w:pPr>
            <w:r>
              <w:rPr/>
              <w:t>Producătorul și modelul celulei</w:t>
            </w:r>
          </w:p>
        </w:tc>
        <w:tc>
          <w:tcPr>
            <w:tcW w:w="831" w:type="dxa"/>
            <w:tcBorders/>
          </w:tcPr>
          <w:p>
            <w:pPr>
              <w:pStyle w:val="Compact"/>
              <w:rPr/>
            </w:pPr>
            <w:r>
              <w:rPr/>
            </w:r>
          </w:p>
        </w:tc>
      </w:tr>
      <w:tr>
        <w:trPr/>
        <w:tc>
          <w:tcPr>
            <w:tcW w:w="830" w:type="dxa"/>
            <w:tcBorders/>
          </w:tcPr>
          <w:p>
            <w:pPr>
              <w:pStyle w:val="Compact"/>
              <w:jc w:val="left"/>
              <w:rPr/>
            </w:pPr>
            <w:r>
              <w:rPr/>
              <w:t>V16</w:t>
            </w:r>
          </w:p>
        </w:tc>
        <w:tc>
          <w:tcPr>
            <w:tcW w:w="7651" w:type="dxa"/>
            <w:tcBorders/>
          </w:tcPr>
          <w:p>
            <w:pPr>
              <w:pStyle w:val="Compact"/>
              <w:jc w:val="left"/>
              <w:rPr/>
            </w:pPr>
            <w:r>
              <w:rPr/>
              <w:t>Entitatea din UE/SEE care își asumă direct garanția producătorului (art. 13.7 din modelul de contract)</w:t>
            </w:r>
          </w:p>
        </w:tc>
        <w:tc>
          <w:tcPr>
            <w:tcW w:w="831" w:type="dxa"/>
            <w:tcBorders/>
          </w:tcPr>
          <w:p>
            <w:pPr>
              <w:pStyle w:val="Compact"/>
              <w:rPr/>
            </w:pPr>
            <w:r>
              <w:rPr/>
            </w:r>
          </w:p>
        </w:tc>
      </w:tr>
    </w:tbl>
    <w:p>
      <w:pPr>
        <w:pStyle w:val="BodyText"/>
        <w:rPr/>
      </w:pPr>
      <w:r>
        <w:rPr>
          <w:b/>
          <w:bCs/>
        </w:rPr>
        <w:t>Declararea capacității.</w:t>
      </w:r>
      <w:r>
        <w:rPr/>
        <w:t xml:space="preserve"> Ofertantul declară expres dacă V1 este </w:t>
      </w:r>
      <w:r>
        <w:rPr>
          <w:b/>
          <w:bCs/>
        </w:rPr>
        <w:t>energie instalată, la nivel de placă</w:t>
      </w:r>
      <w:r>
        <w:rPr/>
        <w:t xml:space="preserve">, sau </w:t>
      </w:r>
      <w:r>
        <w:rPr>
          <w:b/>
          <w:bCs/>
        </w:rPr>
        <w:t>energie utilizabilă</w:t>
      </w:r>
      <w:r>
        <w:rPr/>
        <w:t>, și anexează documentul de garanție al producătorului celulei, care specifică fereastra de stare de încărcare pe care este garantată durata de viață. Dacă V1 este declarat ca energie utilizabilă, capacitatea nominală se recalculează prin împărțire la fereastra declarată, iar rezultatul se compară cu plafonul avizat de la §3.2.1 lit. A.</w:t>
      </w:r>
    </w:p>
    <w:p>
      <w:pPr>
        <w:pStyle w:val="BodyText"/>
        <w:rPr/>
      </w:pPr>
      <w:r>
        <w:rPr>
          <w:b/>
          <w:bCs/>
        </w:rPr>
        <w:t>Consistența Valorilor Garantate.</w:t>
      </w:r>
      <w:r>
        <w:rPr/>
        <w:t xml:space="preserve"> V2 se declară cel puțin egal cu 0,90 × V1. V3 se declară coerent cu V1, V2 și V5, iar Ofertantul anexează calculul care leagă cele patru valori: fereastra de stare de încărcare folosită, randamentul de descărcare și consumul auxiliarelor pe durata ciclului de test. </w:t>
      </w:r>
      <w:r>
        <w:rPr>
          <w:b/>
          <w:bCs/>
        </w:rPr>
        <w:t>Inconsecvența aritmetică între V1, V2, V3 și V5 face oferta neconformă</w:t>
      </w:r>
      <w:r>
        <w:rPr/>
        <w:t>, întrucât V1 se măsoară prin test la punerea în funcțiune (art. 9.4¹), iar V3 se măsoară în aceeași sesiune (art. 9.4).</w:t>
      </w:r>
    </w:p>
    <w:p>
      <w:pPr>
        <w:pStyle w:val="Compact"/>
        <w:numPr>
          <w:ilvl w:val="0"/>
          <w:numId w:val="17"/>
        </w:numPr>
        <w:rPr/>
      </w:pPr>
      <w:r>
        <w:rPr/>
        <w:t xml:space="preserve">Declarăm </w:t>
      </w:r>
      <w:r>
        <w:rPr>
          <w:b/>
          <w:bCs/>
        </w:rPr>
        <w:t>curba de retenție garantată, bidimensional</w:t>
      </w:r>
      <w:r>
        <w:rPr/>
        <w:t>, conform art. 13.3 din modelul de contract:</w:t>
      </w:r>
    </w:p>
    <w:p>
      <w:pPr>
        <w:pStyle w:val="FirstParagraph"/>
        <w:rPr/>
      </w:pPr>
      <w:r>
        <w:rPr>
          <w:b/>
          <w:bCs/>
        </w:rPr>
        <w:t>(a) Curba calendaristică — SoH garantat an cu an, în regimul R2:</w:t>
      </w:r>
    </w:p>
    <w:tbl>
      <w:tblPr>
        <w:tblStyle w:val="Table"/>
        <w:tblW w:w="7920" w:type="dxa"/>
        <w:jc w:val="left"/>
        <w:tblInd w:w="108" w:type="dxa"/>
        <w:tblLayout w:type="fixed"/>
        <w:tblCellMar>
          <w:top w:w="0" w:type="dxa"/>
          <w:left w:w="108" w:type="dxa"/>
          <w:bottom w:w="0" w:type="dxa"/>
          <w:right w:w="108" w:type="dxa"/>
        </w:tblCellMar>
        <w:tblLook w:noHBand="0" w:noVBand="0" w:firstColumn="0" w:lastRow="0" w:lastColumn="0" w:firstRow="1" w:val="0020"/>
      </w:tblPr>
      <w:tblGrid>
        <w:gridCol w:w="719"/>
        <w:gridCol w:w="720"/>
        <w:gridCol w:w="720"/>
        <w:gridCol w:w="720"/>
        <w:gridCol w:w="720"/>
        <w:gridCol w:w="721"/>
        <w:gridCol w:w="720"/>
        <w:gridCol w:w="720"/>
        <w:gridCol w:w="720"/>
        <w:gridCol w:w="720"/>
        <w:gridCol w:w="720"/>
      </w:tblGrid>
      <w:tr>
        <w:trPr>
          <w:tblHeader w:val="true"/>
        </w:trPr>
        <w:tc>
          <w:tcPr>
            <w:tcW w:w="719" w:type="dxa"/>
            <w:tcBorders>
              <w:bottom w:val="single" w:sz="6" w:space="0" w:color="000000"/>
            </w:tcBorders>
            <w:vAlign w:val="bottom"/>
          </w:tcPr>
          <w:p>
            <w:pPr>
              <w:pStyle w:val="Compact"/>
              <w:jc w:val="left"/>
              <w:rPr/>
            </w:pPr>
            <w:r>
              <w:rPr/>
              <w:t>An</w:t>
            </w:r>
          </w:p>
        </w:tc>
        <w:tc>
          <w:tcPr>
            <w:tcW w:w="720" w:type="dxa"/>
            <w:tcBorders>
              <w:bottom w:val="single" w:sz="6" w:space="0" w:color="000000"/>
            </w:tcBorders>
            <w:vAlign w:val="bottom"/>
          </w:tcPr>
          <w:p>
            <w:pPr>
              <w:pStyle w:val="Compact"/>
              <w:jc w:val="left"/>
              <w:rPr/>
            </w:pPr>
            <w:r>
              <w:rPr/>
              <w:t>1</w:t>
            </w:r>
          </w:p>
        </w:tc>
        <w:tc>
          <w:tcPr>
            <w:tcW w:w="720" w:type="dxa"/>
            <w:tcBorders>
              <w:bottom w:val="single" w:sz="6" w:space="0" w:color="000000"/>
            </w:tcBorders>
            <w:vAlign w:val="bottom"/>
          </w:tcPr>
          <w:p>
            <w:pPr>
              <w:pStyle w:val="Compact"/>
              <w:jc w:val="left"/>
              <w:rPr/>
            </w:pPr>
            <w:r>
              <w:rPr/>
              <w:t>2</w:t>
            </w:r>
          </w:p>
        </w:tc>
        <w:tc>
          <w:tcPr>
            <w:tcW w:w="720" w:type="dxa"/>
            <w:tcBorders>
              <w:bottom w:val="single" w:sz="6" w:space="0" w:color="000000"/>
            </w:tcBorders>
            <w:vAlign w:val="bottom"/>
          </w:tcPr>
          <w:p>
            <w:pPr>
              <w:pStyle w:val="Compact"/>
              <w:jc w:val="left"/>
              <w:rPr/>
            </w:pPr>
            <w:r>
              <w:rPr/>
              <w:t>3</w:t>
            </w:r>
          </w:p>
        </w:tc>
        <w:tc>
          <w:tcPr>
            <w:tcW w:w="720" w:type="dxa"/>
            <w:tcBorders>
              <w:bottom w:val="single" w:sz="6" w:space="0" w:color="000000"/>
            </w:tcBorders>
            <w:vAlign w:val="bottom"/>
          </w:tcPr>
          <w:p>
            <w:pPr>
              <w:pStyle w:val="Compact"/>
              <w:jc w:val="left"/>
              <w:rPr/>
            </w:pPr>
            <w:r>
              <w:rPr/>
              <w:t>4</w:t>
            </w:r>
          </w:p>
        </w:tc>
        <w:tc>
          <w:tcPr>
            <w:tcW w:w="721" w:type="dxa"/>
            <w:tcBorders>
              <w:bottom w:val="single" w:sz="6" w:space="0" w:color="000000"/>
            </w:tcBorders>
            <w:vAlign w:val="bottom"/>
          </w:tcPr>
          <w:p>
            <w:pPr>
              <w:pStyle w:val="Compact"/>
              <w:jc w:val="left"/>
              <w:rPr/>
            </w:pPr>
            <w:r>
              <w:rPr/>
              <w:t>5</w:t>
            </w:r>
          </w:p>
        </w:tc>
        <w:tc>
          <w:tcPr>
            <w:tcW w:w="720" w:type="dxa"/>
            <w:tcBorders>
              <w:bottom w:val="single" w:sz="6" w:space="0" w:color="000000"/>
            </w:tcBorders>
            <w:vAlign w:val="bottom"/>
          </w:tcPr>
          <w:p>
            <w:pPr>
              <w:pStyle w:val="Compact"/>
              <w:jc w:val="left"/>
              <w:rPr/>
            </w:pPr>
            <w:r>
              <w:rPr/>
              <w:t>6</w:t>
            </w:r>
          </w:p>
        </w:tc>
        <w:tc>
          <w:tcPr>
            <w:tcW w:w="720" w:type="dxa"/>
            <w:tcBorders>
              <w:bottom w:val="single" w:sz="6" w:space="0" w:color="000000"/>
            </w:tcBorders>
            <w:vAlign w:val="bottom"/>
          </w:tcPr>
          <w:p>
            <w:pPr>
              <w:pStyle w:val="Compact"/>
              <w:jc w:val="left"/>
              <w:rPr/>
            </w:pPr>
            <w:r>
              <w:rPr/>
              <w:t>7</w:t>
            </w:r>
          </w:p>
        </w:tc>
        <w:tc>
          <w:tcPr>
            <w:tcW w:w="720" w:type="dxa"/>
            <w:tcBorders>
              <w:bottom w:val="single" w:sz="6" w:space="0" w:color="000000"/>
            </w:tcBorders>
            <w:vAlign w:val="bottom"/>
          </w:tcPr>
          <w:p>
            <w:pPr>
              <w:pStyle w:val="Compact"/>
              <w:jc w:val="left"/>
              <w:rPr/>
            </w:pPr>
            <w:r>
              <w:rPr/>
              <w:t>8</w:t>
            </w:r>
          </w:p>
        </w:tc>
        <w:tc>
          <w:tcPr>
            <w:tcW w:w="720" w:type="dxa"/>
            <w:tcBorders>
              <w:bottom w:val="single" w:sz="6" w:space="0" w:color="000000"/>
            </w:tcBorders>
            <w:vAlign w:val="bottom"/>
          </w:tcPr>
          <w:p>
            <w:pPr>
              <w:pStyle w:val="Compact"/>
              <w:jc w:val="left"/>
              <w:rPr/>
            </w:pPr>
            <w:r>
              <w:rPr/>
              <w:t>9</w:t>
            </w:r>
          </w:p>
        </w:tc>
        <w:tc>
          <w:tcPr>
            <w:tcW w:w="720" w:type="dxa"/>
            <w:tcBorders>
              <w:bottom w:val="single" w:sz="6" w:space="0" w:color="000000"/>
            </w:tcBorders>
            <w:vAlign w:val="bottom"/>
          </w:tcPr>
          <w:p>
            <w:pPr>
              <w:pStyle w:val="Compact"/>
              <w:jc w:val="left"/>
              <w:rPr/>
            </w:pPr>
            <w:r>
              <w:rPr/>
              <w:t>10</w:t>
            </w:r>
          </w:p>
        </w:tc>
      </w:tr>
      <w:tr>
        <w:trPr/>
        <w:tc>
          <w:tcPr>
            <w:tcW w:w="719" w:type="dxa"/>
            <w:tcBorders/>
          </w:tcPr>
          <w:p>
            <w:pPr>
              <w:pStyle w:val="Compact"/>
              <w:jc w:val="left"/>
              <w:rPr/>
            </w:pPr>
            <w:r>
              <w:rPr/>
              <w:t>SoH garantat (%)</w:t>
            </w:r>
          </w:p>
        </w:tc>
        <w:tc>
          <w:tcPr>
            <w:tcW w:w="720" w:type="dxa"/>
            <w:tcBorders/>
          </w:tcPr>
          <w:p>
            <w:pPr>
              <w:pStyle w:val="Compact"/>
              <w:rPr/>
            </w:pPr>
            <w:r>
              <w:rPr/>
            </w:r>
          </w:p>
        </w:tc>
        <w:tc>
          <w:tcPr>
            <w:tcW w:w="720" w:type="dxa"/>
            <w:tcBorders/>
          </w:tcPr>
          <w:p>
            <w:pPr>
              <w:pStyle w:val="Compact"/>
              <w:rPr/>
            </w:pPr>
            <w:r>
              <w:rPr/>
            </w:r>
          </w:p>
        </w:tc>
        <w:tc>
          <w:tcPr>
            <w:tcW w:w="720" w:type="dxa"/>
            <w:tcBorders/>
          </w:tcPr>
          <w:p>
            <w:pPr>
              <w:pStyle w:val="Compact"/>
              <w:rPr/>
            </w:pPr>
            <w:r>
              <w:rPr/>
            </w:r>
          </w:p>
        </w:tc>
        <w:tc>
          <w:tcPr>
            <w:tcW w:w="720" w:type="dxa"/>
            <w:tcBorders/>
          </w:tcPr>
          <w:p>
            <w:pPr>
              <w:pStyle w:val="Compact"/>
              <w:rPr/>
            </w:pPr>
            <w:r>
              <w:rPr/>
            </w:r>
          </w:p>
        </w:tc>
        <w:tc>
          <w:tcPr>
            <w:tcW w:w="721" w:type="dxa"/>
            <w:tcBorders/>
          </w:tcPr>
          <w:p>
            <w:pPr>
              <w:pStyle w:val="Compact"/>
              <w:rPr/>
            </w:pPr>
            <w:r>
              <w:rPr/>
            </w:r>
          </w:p>
        </w:tc>
        <w:tc>
          <w:tcPr>
            <w:tcW w:w="720" w:type="dxa"/>
            <w:tcBorders/>
          </w:tcPr>
          <w:p>
            <w:pPr>
              <w:pStyle w:val="Compact"/>
              <w:rPr/>
            </w:pPr>
            <w:r>
              <w:rPr/>
            </w:r>
          </w:p>
        </w:tc>
        <w:tc>
          <w:tcPr>
            <w:tcW w:w="720" w:type="dxa"/>
            <w:tcBorders/>
          </w:tcPr>
          <w:p>
            <w:pPr>
              <w:pStyle w:val="Compact"/>
              <w:rPr/>
            </w:pPr>
            <w:r>
              <w:rPr/>
            </w:r>
          </w:p>
        </w:tc>
        <w:tc>
          <w:tcPr>
            <w:tcW w:w="720" w:type="dxa"/>
            <w:tcBorders/>
          </w:tcPr>
          <w:p>
            <w:pPr>
              <w:pStyle w:val="Compact"/>
              <w:rPr/>
            </w:pPr>
            <w:r>
              <w:rPr/>
            </w:r>
          </w:p>
        </w:tc>
        <w:tc>
          <w:tcPr>
            <w:tcW w:w="720" w:type="dxa"/>
            <w:tcBorders/>
          </w:tcPr>
          <w:p>
            <w:pPr>
              <w:pStyle w:val="Compact"/>
              <w:rPr/>
            </w:pPr>
            <w:r>
              <w:rPr/>
            </w:r>
          </w:p>
        </w:tc>
        <w:tc>
          <w:tcPr>
            <w:tcW w:w="720" w:type="dxa"/>
            <w:tcBorders/>
          </w:tcPr>
          <w:p>
            <w:pPr>
              <w:pStyle w:val="Compact"/>
              <w:rPr/>
            </w:pPr>
            <w:r>
              <w:rPr/>
            </w:r>
          </w:p>
        </w:tc>
      </w:tr>
    </w:tbl>
    <w:p>
      <w:pPr>
        <w:pStyle w:val="BodyText"/>
        <w:rPr/>
      </w:pPr>
      <w:r>
        <w:rPr>
          <w:b/>
          <w:bCs/>
        </w:rPr>
        <w:t>(b) Curba pe energie descărcată cumulată — SoH garantat la fiecare 5.000 MWh, energia fiind măsurată la punctul M1, pe registrul de descărcare al contorului sigilat, ca și la §3.3 lit. E2:</w:t>
      </w:r>
    </w:p>
    <w:tbl>
      <w:tblPr>
        <w:tblStyle w:val="Table"/>
        <w:tblW w:w="4900" w:type="pct"/>
        <w:jc w:val="left"/>
        <w:tblInd w:w="108" w:type="dxa"/>
        <w:tblLayout w:type="fixed"/>
        <w:tblCellMar>
          <w:top w:w="0" w:type="dxa"/>
          <w:left w:w="108" w:type="dxa"/>
          <w:bottom w:w="0" w:type="dxa"/>
          <w:right w:w="108" w:type="dxa"/>
        </w:tblCellMar>
        <w:tblLook w:noHBand="0" w:noVBand="0" w:firstColumn="0" w:lastRow="0" w:lastColumn="0" w:firstRow="1" w:val="0020"/>
      </w:tblPr>
      <w:tblGrid>
        <w:gridCol w:w="1498"/>
        <w:gridCol w:w="631"/>
        <w:gridCol w:w="709"/>
        <w:gridCol w:w="708"/>
        <w:gridCol w:w="709"/>
        <w:gridCol w:w="709"/>
        <w:gridCol w:w="709"/>
        <w:gridCol w:w="709"/>
        <w:gridCol w:w="709"/>
        <w:gridCol w:w="709"/>
        <w:gridCol w:w="709"/>
        <w:gridCol w:w="709"/>
      </w:tblGrid>
      <w:tr>
        <w:trPr>
          <w:tblHeader w:val="true"/>
        </w:trPr>
        <w:tc>
          <w:tcPr>
            <w:tcW w:w="1498" w:type="dxa"/>
            <w:tcBorders>
              <w:bottom w:val="single" w:sz="6" w:space="0" w:color="000000"/>
            </w:tcBorders>
            <w:vAlign w:val="bottom"/>
          </w:tcPr>
          <w:p>
            <w:pPr>
              <w:pStyle w:val="Compact"/>
              <w:jc w:val="left"/>
              <w:rPr/>
            </w:pPr>
            <w:r>
              <w:rPr/>
              <w:t>MWh cumulați</w:t>
            </w:r>
          </w:p>
        </w:tc>
        <w:tc>
          <w:tcPr>
            <w:tcW w:w="631" w:type="dxa"/>
            <w:tcBorders>
              <w:bottom w:val="single" w:sz="6" w:space="0" w:color="000000"/>
            </w:tcBorders>
            <w:vAlign w:val="bottom"/>
          </w:tcPr>
          <w:p>
            <w:pPr>
              <w:pStyle w:val="Compact"/>
              <w:jc w:val="left"/>
              <w:rPr/>
            </w:pPr>
            <w:r>
              <w:rPr/>
              <w:t>5.000</w:t>
            </w:r>
          </w:p>
        </w:tc>
        <w:tc>
          <w:tcPr>
            <w:tcW w:w="709" w:type="dxa"/>
            <w:tcBorders>
              <w:bottom w:val="single" w:sz="6" w:space="0" w:color="000000"/>
            </w:tcBorders>
            <w:vAlign w:val="bottom"/>
          </w:tcPr>
          <w:p>
            <w:pPr>
              <w:pStyle w:val="Compact"/>
              <w:jc w:val="left"/>
              <w:rPr/>
            </w:pPr>
            <w:r>
              <w:rPr/>
              <w:t>10.000</w:t>
            </w:r>
          </w:p>
        </w:tc>
        <w:tc>
          <w:tcPr>
            <w:tcW w:w="708" w:type="dxa"/>
            <w:tcBorders>
              <w:bottom w:val="single" w:sz="6" w:space="0" w:color="000000"/>
            </w:tcBorders>
            <w:vAlign w:val="bottom"/>
          </w:tcPr>
          <w:p>
            <w:pPr>
              <w:pStyle w:val="Compact"/>
              <w:jc w:val="left"/>
              <w:rPr/>
            </w:pPr>
            <w:r>
              <w:rPr/>
              <w:t>15.000</w:t>
            </w:r>
          </w:p>
        </w:tc>
        <w:tc>
          <w:tcPr>
            <w:tcW w:w="709" w:type="dxa"/>
            <w:tcBorders>
              <w:bottom w:val="single" w:sz="6" w:space="0" w:color="000000"/>
            </w:tcBorders>
            <w:vAlign w:val="bottom"/>
          </w:tcPr>
          <w:p>
            <w:pPr>
              <w:pStyle w:val="Compact"/>
              <w:jc w:val="left"/>
              <w:rPr/>
            </w:pPr>
            <w:r>
              <w:rPr/>
              <w:t>20.000</w:t>
            </w:r>
          </w:p>
        </w:tc>
        <w:tc>
          <w:tcPr>
            <w:tcW w:w="709" w:type="dxa"/>
            <w:tcBorders>
              <w:bottom w:val="single" w:sz="6" w:space="0" w:color="000000"/>
            </w:tcBorders>
            <w:vAlign w:val="bottom"/>
          </w:tcPr>
          <w:p>
            <w:pPr>
              <w:pStyle w:val="Compact"/>
              <w:jc w:val="left"/>
              <w:rPr/>
            </w:pPr>
            <w:r>
              <w:rPr/>
              <w:t>25.000</w:t>
            </w:r>
          </w:p>
        </w:tc>
        <w:tc>
          <w:tcPr>
            <w:tcW w:w="709" w:type="dxa"/>
            <w:tcBorders>
              <w:bottom w:val="single" w:sz="6" w:space="0" w:color="000000"/>
            </w:tcBorders>
            <w:vAlign w:val="bottom"/>
          </w:tcPr>
          <w:p>
            <w:pPr>
              <w:pStyle w:val="Compact"/>
              <w:jc w:val="left"/>
              <w:rPr/>
            </w:pPr>
            <w:r>
              <w:rPr/>
              <w:t>30.000</w:t>
            </w:r>
          </w:p>
        </w:tc>
        <w:tc>
          <w:tcPr>
            <w:tcW w:w="709" w:type="dxa"/>
            <w:tcBorders>
              <w:bottom w:val="single" w:sz="6" w:space="0" w:color="000000"/>
            </w:tcBorders>
            <w:vAlign w:val="bottom"/>
          </w:tcPr>
          <w:p>
            <w:pPr>
              <w:pStyle w:val="Compact"/>
              <w:jc w:val="left"/>
              <w:rPr/>
            </w:pPr>
            <w:r>
              <w:rPr/>
              <w:t>35.000</w:t>
            </w:r>
          </w:p>
        </w:tc>
        <w:tc>
          <w:tcPr>
            <w:tcW w:w="709" w:type="dxa"/>
            <w:tcBorders>
              <w:bottom w:val="single" w:sz="6" w:space="0" w:color="000000"/>
            </w:tcBorders>
            <w:vAlign w:val="bottom"/>
          </w:tcPr>
          <w:p>
            <w:pPr>
              <w:pStyle w:val="Compact"/>
              <w:jc w:val="left"/>
              <w:rPr/>
            </w:pPr>
            <w:r>
              <w:rPr/>
              <w:t>40.000</w:t>
            </w:r>
          </w:p>
        </w:tc>
        <w:tc>
          <w:tcPr>
            <w:tcW w:w="709" w:type="dxa"/>
            <w:tcBorders>
              <w:bottom w:val="single" w:sz="6" w:space="0" w:color="000000"/>
            </w:tcBorders>
            <w:vAlign w:val="bottom"/>
          </w:tcPr>
          <w:p>
            <w:pPr>
              <w:pStyle w:val="Compact"/>
              <w:jc w:val="left"/>
              <w:rPr/>
            </w:pPr>
            <w:r>
              <w:rPr/>
              <w:t>45.000</w:t>
            </w:r>
          </w:p>
        </w:tc>
        <w:tc>
          <w:tcPr>
            <w:tcW w:w="709" w:type="dxa"/>
            <w:tcBorders>
              <w:bottom w:val="single" w:sz="6" w:space="0" w:color="000000"/>
            </w:tcBorders>
            <w:vAlign w:val="bottom"/>
          </w:tcPr>
          <w:p>
            <w:pPr>
              <w:pStyle w:val="Compact"/>
              <w:jc w:val="left"/>
              <w:rPr/>
            </w:pPr>
            <w:r>
              <w:rPr/>
              <w:t>50.000</w:t>
            </w:r>
          </w:p>
        </w:tc>
        <w:tc>
          <w:tcPr>
            <w:tcW w:w="709" w:type="dxa"/>
            <w:tcBorders>
              <w:bottom w:val="single" w:sz="6" w:space="0" w:color="000000"/>
            </w:tcBorders>
            <w:vAlign w:val="bottom"/>
          </w:tcPr>
          <w:p>
            <w:pPr>
              <w:pStyle w:val="Compact"/>
              <w:jc w:val="left"/>
              <w:rPr/>
            </w:pPr>
            <w:r>
              <w:rPr/>
              <w:t>55.000</w:t>
            </w:r>
          </w:p>
        </w:tc>
      </w:tr>
      <w:tr>
        <w:trPr/>
        <w:tc>
          <w:tcPr>
            <w:tcW w:w="1498" w:type="dxa"/>
            <w:tcBorders/>
          </w:tcPr>
          <w:p>
            <w:pPr>
              <w:pStyle w:val="Compact"/>
              <w:jc w:val="left"/>
              <w:rPr/>
            </w:pPr>
            <w:r>
              <w:rPr/>
              <w:t>SoH garantat (%)</w:t>
            </w:r>
          </w:p>
        </w:tc>
        <w:tc>
          <w:tcPr>
            <w:tcW w:w="631" w:type="dxa"/>
            <w:tcBorders/>
          </w:tcPr>
          <w:p>
            <w:pPr>
              <w:pStyle w:val="Compact"/>
              <w:rPr/>
            </w:pPr>
            <w:r>
              <w:rPr/>
            </w:r>
          </w:p>
        </w:tc>
        <w:tc>
          <w:tcPr>
            <w:tcW w:w="709" w:type="dxa"/>
            <w:tcBorders/>
          </w:tcPr>
          <w:p>
            <w:pPr>
              <w:pStyle w:val="Compact"/>
              <w:rPr/>
            </w:pPr>
            <w:r>
              <w:rPr/>
            </w:r>
          </w:p>
        </w:tc>
        <w:tc>
          <w:tcPr>
            <w:tcW w:w="708" w:type="dxa"/>
            <w:tcBorders/>
          </w:tcPr>
          <w:p>
            <w:pPr>
              <w:pStyle w:val="Compact"/>
              <w:rPr/>
            </w:pPr>
            <w:r>
              <w:rPr/>
            </w:r>
          </w:p>
        </w:tc>
        <w:tc>
          <w:tcPr>
            <w:tcW w:w="709" w:type="dxa"/>
            <w:tcBorders/>
          </w:tcPr>
          <w:p>
            <w:pPr>
              <w:pStyle w:val="Compact"/>
              <w:rPr/>
            </w:pPr>
            <w:r>
              <w:rPr/>
            </w:r>
          </w:p>
        </w:tc>
        <w:tc>
          <w:tcPr>
            <w:tcW w:w="709" w:type="dxa"/>
            <w:tcBorders/>
          </w:tcPr>
          <w:p>
            <w:pPr>
              <w:pStyle w:val="Compact"/>
              <w:rPr/>
            </w:pPr>
            <w:r>
              <w:rPr/>
            </w:r>
          </w:p>
        </w:tc>
        <w:tc>
          <w:tcPr>
            <w:tcW w:w="709" w:type="dxa"/>
            <w:tcBorders/>
          </w:tcPr>
          <w:p>
            <w:pPr>
              <w:pStyle w:val="Compact"/>
              <w:rPr/>
            </w:pPr>
            <w:r>
              <w:rPr/>
            </w:r>
          </w:p>
        </w:tc>
        <w:tc>
          <w:tcPr>
            <w:tcW w:w="709" w:type="dxa"/>
            <w:tcBorders/>
          </w:tcPr>
          <w:p>
            <w:pPr>
              <w:pStyle w:val="Compact"/>
              <w:rPr/>
            </w:pPr>
            <w:r>
              <w:rPr/>
            </w:r>
          </w:p>
        </w:tc>
        <w:tc>
          <w:tcPr>
            <w:tcW w:w="709" w:type="dxa"/>
            <w:tcBorders/>
          </w:tcPr>
          <w:p>
            <w:pPr>
              <w:pStyle w:val="Compact"/>
              <w:rPr/>
            </w:pPr>
            <w:r>
              <w:rPr/>
            </w:r>
          </w:p>
        </w:tc>
        <w:tc>
          <w:tcPr>
            <w:tcW w:w="709" w:type="dxa"/>
            <w:tcBorders/>
          </w:tcPr>
          <w:p>
            <w:pPr>
              <w:pStyle w:val="Compact"/>
              <w:rPr/>
            </w:pPr>
            <w:r>
              <w:rPr/>
            </w:r>
          </w:p>
        </w:tc>
        <w:tc>
          <w:tcPr>
            <w:tcW w:w="709" w:type="dxa"/>
            <w:tcBorders/>
          </w:tcPr>
          <w:p>
            <w:pPr>
              <w:pStyle w:val="Compact"/>
              <w:rPr/>
            </w:pPr>
            <w:r>
              <w:rPr/>
            </w:r>
          </w:p>
        </w:tc>
        <w:tc>
          <w:tcPr>
            <w:tcW w:w="709" w:type="dxa"/>
            <w:tcBorders/>
          </w:tcPr>
          <w:p>
            <w:pPr>
              <w:pStyle w:val="Compact"/>
              <w:rPr/>
            </w:pPr>
            <w:r>
              <w:rPr/>
            </w:r>
          </w:p>
        </w:tc>
      </w:tr>
    </w:tbl>
    <w:p>
      <w:pPr>
        <w:pStyle w:val="BodyText"/>
        <w:rPr/>
      </w:pPr>
      <w:r>
        <w:rPr>
          <w:i/>
          <w:iCs/>
        </w:rPr>
        <w:t>Tabelul se completează cel puțin până la 25.000 MWh, valoare care acoperă perimetrul garanției de performanță de la §3.5. Coloanele care depășesc valoarea garantată la V4 se marchează „n/a”.</w:t>
      </w:r>
    </w:p>
    <w:p>
      <w:pPr>
        <w:pStyle w:val="BodyText"/>
        <w:rPr/>
      </w:pPr>
      <w:r>
        <w:rPr/>
        <w:t xml:space="preserve">Înțelegem că, potrivit art. 13.3 din modelul de contract, </w:t>
      </w:r>
      <w:r>
        <w:rPr>
          <w:b/>
          <w:bCs/>
        </w:rPr>
        <w:t>retenția garantată este, în orice moment, valoarea cea mai mică dintre cele două curbe</w:t>
      </w:r>
      <w:r>
        <w:rPr/>
        <w:t>, și că ambele sunt valabile în interiorul regimului de operare R2 declarat la §3.0 din Caietul de Sarcini.</w:t>
      </w:r>
    </w:p>
    <w:p>
      <w:pPr>
        <w:pStyle w:val="Normal"/>
        <w:numPr>
          <w:ilvl w:val="0"/>
          <w:numId w:val="18"/>
        </w:numPr>
        <w:rPr/>
      </w:pPr>
      <w:r>
        <w:rPr/>
        <w:t xml:space="preserve">Confirmăm că am luat cunoștință de </w:t>
      </w:r>
      <w:r>
        <w:rPr>
          <w:b/>
          <w:bCs/>
        </w:rPr>
        <w:t>regimul de operare de proiectare de la §3.0 din Caietul de Sarcini</w:t>
      </w:r>
      <w:r>
        <w:rPr/>
        <w:t xml:space="preserve"> și că toate Valorile Garantate și curbele declarate mai sus sunt valabile integral în interiorul regimului R2, fără derogare, fără primă de risc și fără reducerea duratei sau a valorilor garantate. Anexăm declarația producătorului celulei conform §3.3 lit. E17.</w:t>
      </w:r>
    </w:p>
    <w:p>
      <w:pPr>
        <w:pStyle w:val="Normal"/>
        <w:numPr>
          <w:ilvl w:val="0"/>
          <w:numId w:val="7"/>
        </w:numPr>
        <w:rPr/>
      </w:pPr>
      <w:r>
        <w:rPr/>
        <w:t xml:space="preserve">Ne angajăm să menținem oferta valabilă </w:t>
      </w:r>
      <w:r>
        <w:rPr>
          <w:b/>
          <w:bCs/>
        </w:rPr>
        <w:t>120 de zile</w:t>
      </w:r>
      <w:r>
        <w:rPr/>
        <w:t xml:space="preserve"> de la data deschiderii ofertelor, respectiv până la data de …………………… .</w:t>
      </w:r>
    </w:p>
    <w:p>
      <w:pPr>
        <w:pStyle w:val="Normal"/>
        <w:numPr>
          <w:ilvl w:val="0"/>
          <w:numId w:val="7"/>
        </w:numPr>
        <w:rPr/>
      </w:pPr>
      <w:r>
        <w:rPr/>
        <w:t>Până la încheierea Contractului, prezenta ofertă, împreună cu comunicarea prin care este stabilită câștigătoare, constituie un contract angajant între noi.</w:t>
      </w:r>
    </w:p>
    <w:p>
      <w:pPr>
        <w:pStyle w:val="Normal"/>
        <w:numPr>
          <w:ilvl w:val="0"/>
          <w:numId w:val="7"/>
        </w:numPr>
        <w:rPr/>
      </w:pPr>
      <w:r>
        <w:rPr/>
        <w:t>Precizăm că nu depunem ofertă alternativă și că am ținut cont, la elaborarea ofertei, de obligațiile referitoare la condițiile de muncă și protecția muncii.</w:t>
      </w:r>
    </w:p>
    <w:p>
      <w:pPr>
        <w:pStyle w:val="Normal"/>
        <w:numPr>
          <w:ilvl w:val="0"/>
          <w:numId w:val="7"/>
        </w:numPr>
        <w:rPr/>
      </w:pPr>
      <w:r>
        <w:rPr/>
        <w:t>Înțelegem că Achizitorul nu este obligat să accepte oferta cu cel mai scăzut preț sau orice altă ofertă primită.</w:t>
      </w:r>
    </w:p>
    <w:p>
      <w:pPr>
        <w:pStyle w:val="FirstParagraph"/>
        <w:rPr/>
      </w:pPr>
      <w:r>
        <w:rPr/>
        <w:t xml:space="preserve">Data completării: ……………… Ofertant, </w:t>
      </w:r>
      <w:r>
        <w:rPr>
          <w:i/>
          <w:iCs/>
        </w:rPr>
        <w:t>(semnătură autorizată)</w:t>
      </w:r>
      <w:bookmarkEnd w:id="5"/>
    </w:p>
    <w:p>
      <w:pPr>
        <w:pStyle w:val="Heading2"/>
        <w:rPr/>
      </w:pPr>
      <w:bookmarkStart w:id="6" w:name="Xabb29ae5e3db3074a55a5c84bb10074b981ac2c"/>
      <w:r>
        <w:rPr/>
        <w:t>Formularul nr. 7 — Anexa la formularul de ofertă</w:t>
      </w:r>
    </w:p>
    <w:p>
      <w:pPr>
        <w:pStyle w:val="FirstParagraph"/>
        <w:rPr/>
      </w:pPr>
      <w:r>
        <w:rPr>
          <w:b/>
          <w:bCs/>
        </w:rPr>
        <w:t>Defalcare pe capitole de deviz</w:t>
      </w:r>
    </w:p>
    <w:tbl>
      <w:tblPr>
        <w:tblStyle w:val="Table"/>
        <w:tblW w:w="4950" w:type="pct"/>
        <w:jc w:val="left"/>
        <w:tblInd w:w="108" w:type="dxa"/>
        <w:tblLayout w:type="fixed"/>
        <w:tblCellMar>
          <w:top w:w="0" w:type="dxa"/>
          <w:left w:w="108" w:type="dxa"/>
          <w:bottom w:w="0" w:type="dxa"/>
          <w:right w:w="108" w:type="dxa"/>
        </w:tblCellMar>
        <w:tblLook w:noHBand="0" w:noVBand="0" w:firstColumn="0" w:lastRow="0" w:lastColumn="0" w:firstRow="1" w:val="0020"/>
      </w:tblPr>
      <w:tblGrid>
        <w:gridCol w:w="237"/>
        <w:gridCol w:w="8085"/>
        <w:gridCol w:w="990"/>
      </w:tblGrid>
      <w:tr>
        <w:trPr>
          <w:tblHeader w:val="true"/>
        </w:trPr>
        <w:tc>
          <w:tcPr>
            <w:tcW w:w="237" w:type="dxa"/>
            <w:tcBorders>
              <w:bottom w:val="single" w:sz="6" w:space="0" w:color="000000"/>
            </w:tcBorders>
            <w:vAlign w:val="bottom"/>
          </w:tcPr>
          <w:p>
            <w:pPr>
              <w:pStyle w:val="Compact"/>
              <w:jc w:val="left"/>
              <w:rPr/>
            </w:pPr>
            <w:r>
              <w:rPr/>
              <w:t>Nr.</w:t>
            </w:r>
          </w:p>
        </w:tc>
        <w:tc>
          <w:tcPr>
            <w:tcW w:w="8085" w:type="dxa"/>
            <w:tcBorders>
              <w:bottom w:val="single" w:sz="6" w:space="0" w:color="000000"/>
            </w:tcBorders>
            <w:vAlign w:val="bottom"/>
          </w:tcPr>
          <w:p>
            <w:pPr>
              <w:pStyle w:val="Compact"/>
              <w:jc w:val="left"/>
              <w:rPr/>
            </w:pPr>
            <w:r>
              <w:rPr/>
              <w:t>Denumirea capitolelor și subcapitolelor de cheltuieli din Devizul General</w:t>
            </w:r>
          </w:p>
        </w:tc>
        <w:tc>
          <w:tcPr>
            <w:tcW w:w="990" w:type="dxa"/>
            <w:tcBorders>
              <w:bottom w:val="single" w:sz="6" w:space="0" w:color="000000"/>
            </w:tcBorders>
            <w:vAlign w:val="bottom"/>
          </w:tcPr>
          <w:p>
            <w:pPr>
              <w:pStyle w:val="Compact"/>
              <w:jc w:val="left"/>
              <w:rPr/>
            </w:pPr>
            <w:r>
              <w:rPr/>
              <w:t>Valoare (lei fără TVA)</w:t>
            </w:r>
          </w:p>
        </w:tc>
      </w:tr>
      <w:tr>
        <w:trPr/>
        <w:tc>
          <w:tcPr>
            <w:tcW w:w="237" w:type="dxa"/>
            <w:tcBorders/>
          </w:tcPr>
          <w:p>
            <w:pPr>
              <w:pStyle w:val="Compact"/>
              <w:jc w:val="left"/>
              <w:rPr/>
            </w:pPr>
            <w:r>
              <w:rPr/>
              <w:t>1</w:t>
            </w:r>
          </w:p>
        </w:tc>
        <w:tc>
          <w:tcPr>
            <w:tcW w:w="8085" w:type="dxa"/>
            <w:tcBorders/>
          </w:tcPr>
          <w:p>
            <w:pPr>
              <w:pStyle w:val="Compact"/>
              <w:jc w:val="left"/>
              <w:rPr/>
            </w:pPr>
            <w:r>
              <w:rPr/>
              <w:t>Amenajarea terenului (1.2)</w:t>
            </w:r>
          </w:p>
        </w:tc>
        <w:tc>
          <w:tcPr>
            <w:tcW w:w="990" w:type="dxa"/>
            <w:tcBorders/>
          </w:tcPr>
          <w:p>
            <w:pPr>
              <w:pStyle w:val="Compact"/>
              <w:rPr/>
            </w:pPr>
            <w:r>
              <w:rPr/>
            </w:r>
          </w:p>
        </w:tc>
      </w:tr>
      <w:tr>
        <w:trPr/>
        <w:tc>
          <w:tcPr>
            <w:tcW w:w="237" w:type="dxa"/>
            <w:tcBorders/>
          </w:tcPr>
          <w:p>
            <w:pPr>
              <w:pStyle w:val="Compact"/>
              <w:jc w:val="left"/>
              <w:rPr/>
            </w:pPr>
            <w:r>
              <w:rPr/>
              <w:t>2</w:t>
            </w:r>
          </w:p>
        </w:tc>
        <w:tc>
          <w:tcPr>
            <w:tcW w:w="8085" w:type="dxa"/>
            <w:tcBorders/>
          </w:tcPr>
          <w:p>
            <w:pPr>
              <w:pStyle w:val="Compact"/>
              <w:jc w:val="left"/>
              <w:rPr/>
            </w:pPr>
            <w:r>
              <w:rPr/>
              <w:t>Amenajări pentru protecția mediului și aducerea la starea inițială (1.3)</w:t>
            </w:r>
          </w:p>
        </w:tc>
        <w:tc>
          <w:tcPr>
            <w:tcW w:w="990" w:type="dxa"/>
            <w:tcBorders/>
          </w:tcPr>
          <w:p>
            <w:pPr>
              <w:pStyle w:val="Compact"/>
              <w:rPr/>
            </w:pPr>
            <w:r>
              <w:rPr/>
            </w:r>
          </w:p>
        </w:tc>
      </w:tr>
      <w:tr>
        <w:trPr/>
        <w:tc>
          <w:tcPr>
            <w:tcW w:w="237" w:type="dxa"/>
            <w:tcBorders/>
          </w:tcPr>
          <w:p>
            <w:pPr>
              <w:pStyle w:val="Compact"/>
              <w:jc w:val="left"/>
              <w:rPr/>
            </w:pPr>
            <w:r>
              <w:rPr/>
              <w:t>3a</w:t>
            </w:r>
          </w:p>
        </w:tc>
        <w:tc>
          <w:tcPr>
            <w:tcW w:w="8085" w:type="dxa"/>
            <w:tcBorders/>
          </w:tcPr>
          <w:p>
            <w:pPr>
              <w:pStyle w:val="Compact"/>
              <w:jc w:val="left"/>
              <w:rPr/>
            </w:pPr>
            <w:r>
              <w:rPr/>
              <w:t xml:space="preserve">Asigurarea utilităților — </w:t>
            </w:r>
            <w:r>
              <w:rPr>
                <w:b/>
                <w:bCs/>
              </w:rPr>
              <w:t>branșament / racordare la instalația de racordare</w:t>
            </w:r>
            <w:r>
              <w:rPr/>
              <w:t>: celula MT în PTAB CEF 0,8/20 kV, 2.500 + 1.600 kVA, LES 20 kV PTAB CEF 0,8/20 kV, 2.500 + 1.600 kVA ↔ PTAB 2 – IS (2)</w:t>
            </w:r>
          </w:p>
        </w:tc>
        <w:tc>
          <w:tcPr>
            <w:tcW w:w="990" w:type="dxa"/>
            <w:tcBorders/>
          </w:tcPr>
          <w:p>
            <w:pPr>
              <w:pStyle w:val="Compact"/>
              <w:rPr/>
            </w:pPr>
            <w:r>
              <w:rPr/>
            </w:r>
          </w:p>
        </w:tc>
      </w:tr>
      <w:tr>
        <w:trPr/>
        <w:tc>
          <w:tcPr>
            <w:tcW w:w="237" w:type="dxa"/>
            <w:tcBorders/>
          </w:tcPr>
          <w:p>
            <w:pPr>
              <w:pStyle w:val="Compact"/>
              <w:jc w:val="left"/>
              <w:rPr/>
            </w:pPr>
            <w:r>
              <w:rPr/>
              <w:t>3b</w:t>
            </w:r>
          </w:p>
        </w:tc>
        <w:tc>
          <w:tcPr>
            <w:tcW w:w="8085" w:type="dxa"/>
            <w:tcBorders/>
          </w:tcPr>
          <w:p>
            <w:pPr>
              <w:pStyle w:val="Compact"/>
              <w:jc w:val="left"/>
              <w:rPr/>
            </w:pPr>
            <w:r>
              <w:rPr/>
              <w:t>Asigurarea utilităților — alte (2)</w:t>
            </w:r>
          </w:p>
        </w:tc>
        <w:tc>
          <w:tcPr>
            <w:tcW w:w="990" w:type="dxa"/>
            <w:tcBorders/>
          </w:tcPr>
          <w:p>
            <w:pPr>
              <w:pStyle w:val="Compact"/>
              <w:rPr/>
            </w:pPr>
            <w:r>
              <w:rPr/>
            </w:r>
          </w:p>
        </w:tc>
      </w:tr>
      <w:tr>
        <w:trPr/>
        <w:tc>
          <w:tcPr>
            <w:tcW w:w="237" w:type="dxa"/>
            <w:tcBorders/>
          </w:tcPr>
          <w:p>
            <w:pPr>
              <w:pStyle w:val="Compact"/>
              <w:jc w:val="left"/>
              <w:rPr/>
            </w:pPr>
            <w:r>
              <w:rPr/>
              <w:t>4a</w:t>
            </w:r>
          </w:p>
        </w:tc>
        <w:tc>
          <w:tcPr>
            <w:tcW w:w="8085" w:type="dxa"/>
            <w:tcBorders/>
          </w:tcPr>
          <w:p>
            <w:pPr>
              <w:pStyle w:val="Compact"/>
              <w:jc w:val="left"/>
              <w:rPr/>
            </w:pPr>
            <w:r>
              <w:rPr>
                <w:b/>
                <w:bCs/>
              </w:rPr>
              <w:t>Documentații pentru obținerea avizelor/acordurilor/autorizațiilor</w:t>
            </w:r>
            <w:r>
              <w:rPr/>
              <w:t xml:space="preserve"> (3.5.4)</w:t>
            </w:r>
          </w:p>
        </w:tc>
        <w:tc>
          <w:tcPr>
            <w:tcW w:w="990" w:type="dxa"/>
            <w:tcBorders/>
          </w:tcPr>
          <w:p>
            <w:pPr>
              <w:pStyle w:val="Compact"/>
              <w:rPr/>
            </w:pPr>
            <w:r>
              <w:rPr/>
            </w:r>
          </w:p>
        </w:tc>
      </w:tr>
      <w:tr>
        <w:trPr/>
        <w:tc>
          <w:tcPr>
            <w:tcW w:w="237" w:type="dxa"/>
            <w:tcBorders/>
          </w:tcPr>
          <w:p>
            <w:pPr>
              <w:pStyle w:val="Compact"/>
              <w:jc w:val="left"/>
              <w:rPr/>
            </w:pPr>
            <w:r>
              <w:rPr/>
              <w:t>4b</w:t>
            </w:r>
          </w:p>
        </w:tc>
        <w:tc>
          <w:tcPr>
            <w:tcW w:w="8085" w:type="dxa"/>
            <w:tcBorders/>
          </w:tcPr>
          <w:p>
            <w:pPr>
              <w:pStyle w:val="Compact"/>
              <w:jc w:val="left"/>
              <w:rPr/>
            </w:pPr>
            <w:r>
              <w:rPr/>
              <w:t>DTAC cu memoriile pe specialități (3.5.4)</w:t>
            </w:r>
          </w:p>
        </w:tc>
        <w:tc>
          <w:tcPr>
            <w:tcW w:w="990" w:type="dxa"/>
            <w:tcBorders/>
          </w:tcPr>
          <w:p>
            <w:pPr>
              <w:pStyle w:val="Compact"/>
              <w:rPr/>
            </w:pPr>
            <w:r>
              <w:rPr/>
            </w:r>
          </w:p>
        </w:tc>
      </w:tr>
      <w:tr>
        <w:trPr/>
        <w:tc>
          <w:tcPr>
            <w:tcW w:w="237" w:type="dxa"/>
            <w:tcBorders/>
          </w:tcPr>
          <w:p>
            <w:pPr>
              <w:pStyle w:val="Compact"/>
              <w:jc w:val="left"/>
              <w:rPr/>
            </w:pPr>
            <w:r>
              <w:rPr/>
              <w:t>5</w:t>
            </w:r>
          </w:p>
        </w:tc>
        <w:tc>
          <w:tcPr>
            <w:tcW w:w="8085" w:type="dxa"/>
            <w:tcBorders/>
          </w:tcPr>
          <w:p>
            <w:pPr>
              <w:pStyle w:val="Compact"/>
              <w:jc w:val="left"/>
              <w:rPr/>
            </w:pPr>
            <w:r>
              <w:rPr/>
              <w:t>Verificarea tehnică de calitate a proiectului tehnic și a detaliilor de execuție (3.5.5)</w:t>
            </w:r>
          </w:p>
        </w:tc>
        <w:tc>
          <w:tcPr>
            <w:tcW w:w="990" w:type="dxa"/>
            <w:tcBorders/>
          </w:tcPr>
          <w:p>
            <w:pPr>
              <w:pStyle w:val="Compact"/>
              <w:rPr/>
            </w:pPr>
            <w:r>
              <w:rPr/>
            </w:r>
          </w:p>
        </w:tc>
      </w:tr>
      <w:tr>
        <w:trPr/>
        <w:tc>
          <w:tcPr>
            <w:tcW w:w="237" w:type="dxa"/>
            <w:tcBorders/>
          </w:tcPr>
          <w:p>
            <w:pPr>
              <w:pStyle w:val="Compact"/>
              <w:jc w:val="left"/>
              <w:rPr/>
            </w:pPr>
            <w:r>
              <w:rPr/>
              <w:t>6</w:t>
            </w:r>
          </w:p>
        </w:tc>
        <w:tc>
          <w:tcPr>
            <w:tcW w:w="8085" w:type="dxa"/>
            <w:tcBorders/>
          </w:tcPr>
          <w:p>
            <w:pPr>
              <w:pStyle w:val="Compact"/>
              <w:jc w:val="left"/>
              <w:rPr/>
            </w:pPr>
            <w:r>
              <w:rPr/>
              <w:t>Proiect tehnic și detalii de execuție PT+DDE (3.5.6)</w:t>
            </w:r>
          </w:p>
        </w:tc>
        <w:tc>
          <w:tcPr>
            <w:tcW w:w="990" w:type="dxa"/>
            <w:tcBorders/>
          </w:tcPr>
          <w:p>
            <w:pPr>
              <w:pStyle w:val="Compact"/>
              <w:rPr/>
            </w:pPr>
            <w:r>
              <w:rPr/>
            </w:r>
          </w:p>
        </w:tc>
      </w:tr>
      <w:tr>
        <w:trPr/>
        <w:tc>
          <w:tcPr>
            <w:tcW w:w="237" w:type="dxa"/>
            <w:tcBorders/>
          </w:tcPr>
          <w:p>
            <w:pPr>
              <w:pStyle w:val="Compact"/>
              <w:jc w:val="left"/>
              <w:rPr/>
            </w:pPr>
            <w:r>
              <w:rPr/>
              <w:t>7</w:t>
            </w:r>
          </w:p>
        </w:tc>
        <w:tc>
          <w:tcPr>
            <w:tcW w:w="8085" w:type="dxa"/>
            <w:tcBorders/>
          </w:tcPr>
          <w:p>
            <w:pPr>
              <w:pStyle w:val="Compact"/>
              <w:jc w:val="left"/>
              <w:rPr/>
            </w:pPr>
            <w:r>
              <w:rPr/>
              <w:t>Asistență tehnică din partea proiectantului (3.8.1)</w:t>
            </w:r>
          </w:p>
        </w:tc>
        <w:tc>
          <w:tcPr>
            <w:tcW w:w="990" w:type="dxa"/>
            <w:tcBorders/>
          </w:tcPr>
          <w:p>
            <w:pPr>
              <w:pStyle w:val="Compact"/>
              <w:rPr/>
            </w:pPr>
            <w:r>
              <w:rPr/>
            </w:r>
          </w:p>
        </w:tc>
      </w:tr>
      <w:tr>
        <w:trPr/>
        <w:tc>
          <w:tcPr>
            <w:tcW w:w="237" w:type="dxa"/>
            <w:tcBorders/>
          </w:tcPr>
          <w:p>
            <w:pPr>
              <w:pStyle w:val="Compact"/>
              <w:jc w:val="left"/>
              <w:rPr/>
            </w:pPr>
            <w:r>
              <w:rPr/>
              <w:t>8</w:t>
            </w:r>
          </w:p>
        </w:tc>
        <w:tc>
          <w:tcPr>
            <w:tcW w:w="8085" w:type="dxa"/>
            <w:tcBorders/>
          </w:tcPr>
          <w:p>
            <w:pPr>
              <w:pStyle w:val="Compact"/>
              <w:jc w:val="left"/>
              <w:rPr/>
            </w:pPr>
            <w:r>
              <w:rPr/>
              <w:t>Construcții și instalații (4.1)</w:t>
            </w:r>
          </w:p>
        </w:tc>
        <w:tc>
          <w:tcPr>
            <w:tcW w:w="990" w:type="dxa"/>
            <w:tcBorders/>
          </w:tcPr>
          <w:p>
            <w:pPr>
              <w:pStyle w:val="Compact"/>
              <w:rPr/>
            </w:pPr>
            <w:r>
              <w:rPr/>
            </w:r>
          </w:p>
        </w:tc>
      </w:tr>
      <w:tr>
        <w:trPr/>
        <w:tc>
          <w:tcPr>
            <w:tcW w:w="237" w:type="dxa"/>
            <w:tcBorders/>
          </w:tcPr>
          <w:p>
            <w:pPr>
              <w:pStyle w:val="Compact"/>
              <w:jc w:val="left"/>
              <w:rPr/>
            </w:pPr>
            <w:r>
              <w:rPr/>
              <w:t>9</w:t>
            </w:r>
          </w:p>
        </w:tc>
        <w:tc>
          <w:tcPr>
            <w:tcW w:w="8085" w:type="dxa"/>
            <w:tcBorders/>
          </w:tcPr>
          <w:p>
            <w:pPr>
              <w:pStyle w:val="Compact"/>
              <w:jc w:val="left"/>
              <w:rPr/>
            </w:pPr>
            <w:r>
              <w:rPr/>
              <w:t>Montaj utilaje, echipamente tehnologice și funcționale (4.2)</w:t>
            </w:r>
          </w:p>
        </w:tc>
        <w:tc>
          <w:tcPr>
            <w:tcW w:w="990" w:type="dxa"/>
            <w:tcBorders/>
          </w:tcPr>
          <w:p>
            <w:pPr>
              <w:pStyle w:val="Compact"/>
              <w:rPr/>
            </w:pPr>
            <w:r>
              <w:rPr/>
            </w:r>
          </w:p>
        </w:tc>
      </w:tr>
      <w:tr>
        <w:trPr/>
        <w:tc>
          <w:tcPr>
            <w:tcW w:w="237" w:type="dxa"/>
            <w:tcBorders/>
          </w:tcPr>
          <w:p>
            <w:pPr>
              <w:pStyle w:val="Compact"/>
              <w:jc w:val="left"/>
              <w:rPr/>
            </w:pPr>
            <w:r>
              <w:rPr/>
              <w:t>10</w:t>
            </w:r>
          </w:p>
        </w:tc>
        <w:tc>
          <w:tcPr>
            <w:tcW w:w="8085" w:type="dxa"/>
            <w:tcBorders/>
          </w:tcPr>
          <w:p>
            <w:pPr>
              <w:pStyle w:val="Compact"/>
              <w:jc w:val="left"/>
              <w:rPr/>
            </w:pPr>
            <w:r>
              <w:rPr/>
              <w:t>Utilaje, echipamente tehnologice și funcționale care necesită montaj (4.3)</w:t>
            </w:r>
          </w:p>
        </w:tc>
        <w:tc>
          <w:tcPr>
            <w:tcW w:w="990" w:type="dxa"/>
            <w:tcBorders/>
          </w:tcPr>
          <w:p>
            <w:pPr>
              <w:pStyle w:val="Compact"/>
              <w:rPr/>
            </w:pPr>
            <w:r>
              <w:rPr/>
            </w:r>
          </w:p>
        </w:tc>
      </w:tr>
      <w:tr>
        <w:trPr/>
        <w:tc>
          <w:tcPr>
            <w:tcW w:w="237" w:type="dxa"/>
            <w:tcBorders/>
          </w:tcPr>
          <w:p>
            <w:pPr>
              <w:pStyle w:val="Compact"/>
              <w:jc w:val="left"/>
              <w:rPr/>
            </w:pPr>
            <w:r>
              <w:rPr/>
              <w:t>11</w:t>
            </w:r>
          </w:p>
        </w:tc>
        <w:tc>
          <w:tcPr>
            <w:tcW w:w="8085" w:type="dxa"/>
            <w:tcBorders/>
          </w:tcPr>
          <w:p>
            <w:pPr>
              <w:pStyle w:val="Compact"/>
              <w:jc w:val="left"/>
              <w:rPr/>
            </w:pPr>
            <w:r>
              <w:rPr/>
              <w:t>Dotări (4.5)</w:t>
            </w:r>
          </w:p>
        </w:tc>
        <w:tc>
          <w:tcPr>
            <w:tcW w:w="990" w:type="dxa"/>
            <w:tcBorders/>
          </w:tcPr>
          <w:p>
            <w:pPr>
              <w:pStyle w:val="Compact"/>
              <w:rPr/>
            </w:pPr>
            <w:r>
              <w:rPr/>
            </w:r>
          </w:p>
        </w:tc>
      </w:tr>
      <w:tr>
        <w:trPr/>
        <w:tc>
          <w:tcPr>
            <w:tcW w:w="237" w:type="dxa"/>
            <w:tcBorders/>
          </w:tcPr>
          <w:p>
            <w:pPr>
              <w:pStyle w:val="Compact"/>
              <w:jc w:val="left"/>
              <w:rPr/>
            </w:pPr>
            <w:r>
              <w:rPr/>
              <w:t>12</w:t>
            </w:r>
          </w:p>
        </w:tc>
        <w:tc>
          <w:tcPr>
            <w:tcW w:w="8085" w:type="dxa"/>
            <w:tcBorders/>
          </w:tcPr>
          <w:p>
            <w:pPr>
              <w:pStyle w:val="Compact"/>
              <w:jc w:val="left"/>
              <w:rPr/>
            </w:pPr>
            <w:r>
              <w:rPr/>
              <w:t>Organizare de șantier (5.1)</w:t>
            </w:r>
          </w:p>
        </w:tc>
        <w:tc>
          <w:tcPr>
            <w:tcW w:w="990" w:type="dxa"/>
            <w:tcBorders/>
          </w:tcPr>
          <w:p>
            <w:pPr>
              <w:pStyle w:val="Compact"/>
              <w:rPr/>
            </w:pPr>
            <w:r>
              <w:rPr/>
            </w:r>
          </w:p>
        </w:tc>
      </w:tr>
      <w:tr>
        <w:trPr/>
        <w:tc>
          <w:tcPr>
            <w:tcW w:w="237" w:type="dxa"/>
            <w:tcBorders/>
          </w:tcPr>
          <w:p>
            <w:pPr>
              <w:pStyle w:val="Compact"/>
              <w:jc w:val="left"/>
              <w:rPr/>
            </w:pPr>
            <w:r>
              <w:rPr/>
              <w:t>13</w:t>
            </w:r>
          </w:p>
        </w:tc>
        <w:tc>
          <w:tcPr>
            <w:tcW w:w="8085" w:type="dxa"/>
            <w:tcBorders/>
          </w:tcPr>
          <w:p>
            <w:pPr>
              <w:pStyle w:val="Compact"/>
              <w:jc w:val="left"/>
              <w:rPr/>
            </w:pPr>
            <w:r>
              <w:rPr/>
              <w:t>Probe tehnologice și teste (6.2)</w:t>
            </w:r>
          </w:p>
        </w:tc>
        <w:tc>
          <w:tcPr>
            <w:tcW w:w="990" w:type="dxa"/>
            <w:tcBorders/>
          </w:tcPr>
          <w:p>
            <w:pPr>
              <w:pStyle w:val="Compact"/>
              <w:rPr/>
            </w:pPr>
            <w:r>
              <w:rPr/>
            </w:r>
          </w:p>
        </w:tc>
      </w:tr>
      <w:tr>
        <w:trPr/>
        <w:tc>
          <w:tcPr>
            <w:tcW w:w="237" w:type="dxa"/>
            <w:tcBorders/>
          </w:tcPr>
          <w:p>
            <w:pPr>
              <w:pStyle w:val="Compact"/>
              <w:rPr/>
            </w:pPr>
            <w:r>
              <w:rPr/>
            </w:r>
          </w:p>
        </w:tc>
        <w:tc>
          <w:tcPr>
            <w:tcW w:w="8085" w:type="dxa"/>
            <w:tcBorders/>
          </w:tcPr>
          <w:p>
            <w:pPr>
              <w:pStyle w:val="Compact"/>
              <w:jc w:val="left"/>
              <w:rPr/>
            </w:pPr>
            <w:r>
              <w:rPr>
                <w:b/>
                <w:bCs/>
              </w:rPr>
              <w:t>TOTAL GENERAL lei fără TVA</w:t>
            </w:r>
            <w:r>
              <w:rPr/>
              <w:t xml:space="preserve"> </w:t>
            </w:r>
            <w:r>
              <w:rPr>
                <w:i/>
                <w:iCs/>
              </w:rPr>
              <w:t>(mărimea punctată la §7.2)</w:t>
            </w:r>
          </w:p>
        </w:tc>
        <w:tc>
          <w:tcPr>
            <w:tcW w:w="990" w:type="dxa"/>
            <w:tcBorders/>
          </w:tcPr>
          <w:p>
            <w:pPr>
              <w:pStyle w:val="Compact"/>
              <w:rPr/>
            </w:pPr>
            <w:r>
              <w:rPr/>
            </w:r>
          </w:p>
        </w:tc>
      </w:tr>
    </w:tbl>
    <w:p>
      <w:pPr>
        <w:pStyle w:val="BodyText"/>
        <w:rPr/>
      </w:pPr>
      <w:r>
        <w:rPr>
          <w:i/>
          <w:iCs/>
        </w:rPr>
        <w:t>Pozițiile 3a și 4a se evidențiază distinct pentru delimitarea cheltuielilor în sensul art. 4 alin. (3) lit. q) și r) din Contractul de finanțare.</w:t>
      </w:r>
    </w:p>
    <w:p>
      <w:pPr>
        <w:pStyle w:val="BodyText"/>
        <w:rPr/>
      </w:pPr>
      <w:r>
        <w:rPr>
          <w:b/>
          <w:bCs/>
        </w:rPr>
        <w:t>Opțiuni cu preț ferm — neincluse în TOTAL GENERAL și nepunctate</w:t>
      </w:r>
    </w:p>
    <w:tbl>
      <w:tblPr>
        <w:tblStyle w:val="Table"/>
        <w:tblW w:w="4950" w:type="pct"/>
        <w:jc w:val="left"/>
        <w:tblInd w:w="108" w:type="dxa"/>
        <w:tblLayout w:type="fixed"/>
        <w:tblCellMar>
          <w:top w:w="0" w:type="dxa"/>
          <w:left w:w="108" w:type="dxa"/>
          <w:bottom w:w="0" w:type="dxa"/>
          <w:right w:w="108" w:type="dxa"/>
        </w:tblCellMar>
        <w:tblLook w:noHBand="0" w:noVBand="0" w:firstColumn="0" w:lastRow="0" w:lastColumn="0" w:firstRow="1" w:val="0020"/>
      </w:tblPr>
      <w:tblGrid>
        <w:gridCol w:w="774"/>
        <w:gridCol w:w="5821"/>
        <w:gridCol w:w="1078"/>
        <w:gridCol w:w="1639"/>
      </w:tblGrid>
      <w:tr>
        <w:trPr>
          <w:tblHeader w:val="true"/>
        </w:trPr>
        <w:tc>
          <w:tcPr>
            <w:tcW w:w="774" w:type="dxa"/>
            <w:tcBorders>
              <w:bottom w:val="single" w:sz="6" w:space="0" w:color="000000"/>
            </w:tcBorders>
            <w:vAlign w:val="bottom"/>
          </w:tcPr>
          <w:p>
            <w:pPr>
              <w:pStyle w:val="Compact"/>
              <w:jc w:val="left"/>
              <w:rPr/>
            </w:pPr>
            <w:r>
              <w:rPr/>
              <w:t>Nr.</w:t>
            </w:r>
          </w:p>
        </w:tc>
        <w:tc>
          <w:tcPr>
            <w:tcW w:w="5821" w:type="dxa"/>
            <w:tcBorders>
              <w:bottom w:val="single" w:sz="6" w:space="0" w:color="000000"/>
            </w:tcBorders>
            <w:vAlign w:val="bottom"/>
          </w:tcPr>
          <w:p>
            <w:pPr>
              <w:pStyle w:val="Compact"/>
              <w:jc w:val="left"/>
              <w:rPr/>
            </w:pPr>
            <w:r>
              <w:rPr/>
              <w:t>Poziție</w:t>
            </w:r>
          </w:p>
        </w:tc>
        <w:tc>
          <w:tcPr>
            <w:tcW w:w="1078" w:type="dxa"/>
            <w:tcBorders>
              <w:bottom w:val="single" w:sz="6" w:space="0" w:color="000000"/>
            </w:tcBorders>
            <w:vAlign w:val="bottom"/>
          </w:tcPr>
          <w:p>
            <w:pPr>
              <w:pStyle w:val="Compact"/>
              <w:jc w:val="left"/>
              <w:rPr/>
            </w:pPr>
            <w:r>
              <w:rPr/>
              <w:t>Valoare (lei fără TVA)</w:t>
            </w:r>
          </w:p>
        </w:tc>
        <w:tc>
          <w:tcPr>
            <w:tcW w:w="1639" w:type="dxa"/>
            <w:tcBorders>
              <w:bottom w:val="single" w:sz="6" w:space="0" w:color="000000"/>
            </w:tcBorders>
            <w:vAlign w:val="bottom"/>
          </w:tcPr>
          <w:p>
            <w:pPr>
              <w:pStyle w:val="Compact"/>
              <w:jc w:val="left"/>
              <w:rPr/>
            </w:pPr>
            <w:r>
              <w:rPr/>
              <w:t>Valabilitate</w:t>
            </w:r>
          </w:p>
        </w:tc>
      </w:tr>
      <w:tr>
        <w:trPr/>
        <w:tc>
          <w:tcPr>
            <w:tcW w:w="774" w:type="dxa"/>
            <w:tcBorders/>
          </w:tcPr>
          <w:p>
            <w:pPr>
              <w:pStyle w:val="Compact"/>
              <w:jc w:val="left"/>
              <w:rPr/>
            </w:pPr>
            <w:r>
              <w:rPr/>
              <w:t>14</w:t>
            </w:r>
          </w:p>
        </w:tc>
        <w:tc>
          <w:tcPr>
            <w:tcW w:w="5821" w:type="dxa"/>
            <w:tcBorders/>
          </w:tcPr>
          <w:p>
            <w:pPr>
              <w:pStyle w:val="Compact"/>
              <w:jc w:val="left"/>
              <w:rPr/>
            </w:pPr>
            <w:r>
              <w:rPr/>
              <w:t xml:space="preserve">Augmentare la </w:t>
            </w:r>
            <w:r>
              <w:rPr>
                <w:b/>
                <w:bCs/>
              </w:rPr>
              <w:t>anul 5</w:t>
            </w:r>
            <w:r>
              <w:rPr/>
              <w:t xml:space="preserve"> de la PIF, pentru restabilirea capacității la valoarea garantată V1 — module, montaj, punere în funcțiune</w:t>
            </w:r>
          </w:p>
        </w:tc>
        <w:tc>
          <w:tcPr>
            <w:tcW w:w="1078" w:type="dxa"/>
            <w:tcBorders/>
          </w:tcPr>
          <w:p>
            <w:pPr>
              <w:pStyle w:val="Compact"/>
              <w:rPr/>
            </w:pPr>
            <w:r>
              <w:rPr/>
            </w:r>
          </w:p>
        </w:tc>
        <w:tc>
          <w:tcPr>
            <w:tcW w:w="1639" w:type="dxa"/>
            <w:tcBorders/>
          </w:tcPr>
          <w:p>
            <w:pPr>
              <w:pStyle w:val="Compact"/>
              <w:jc w:val="left"/>
              <w:rPr/>
            </w:pPr>
            <w:r>
              <w:rPr/>
              <w:t>preț ferm, exercitabil de Achizitor</w:t>
            </w:r>
          </w:p>
        </w:tc>
      </w:tr>
      <w:tr>
        <w:trPr/>
        <w:tc>
          <w:tcPr>
            <w:tcW w:w="774" w:type="dxa"/>
            <w:tcBorders/>
          </w:tcPr>
          <w:p>
            <w:pPr>
              <w:pStyle w:val="Compact"/>
              <w:jc w:val="left"/>
              <w:rPr/>
            </w:pPr>
            <w:r>
              <w:rPr/>
              <w:t>15</w:t>
            </w:r>
          </w:p>
        </w:tc>
        <w:tc>
          <w:tcPr>
            <w:tcW w:w="5821" w:type="dxa"/>
            <w:tcBorders/>
          </w:tcPr>
          <w:p>
            <w:pPr>
              <w:pStyle w:val="Compact"/>
              <w:jc w:val="left"/>
              <w:rPr/>
            </w:pPr>
            <w:r>
              <w:rPr/>
              <w:t xml:space="preserve">Augmentare la </w:t>
            </w:r>
            <w:r>
              <w:rPr>
                <w:b/>
                <w:bCs/>
              </w:rPr>
              <w:t>anul 10</w:t>
            </w:r>
            <w:r>
              <w:rPr/>
              <w:t xml:space="preserve"> de la PIF, aceeași sferă</w:t>
            </w:r>
          </w:p>
        </w:tc>
        <w:tc>
          <w:tcPr>
            <w:tcW w:w="1078" w:type="dxa"/>
            <w:tcBorders/>
          </w:tcPr>
          <w:p>
            <w:pPr>
              <w:pStyle w:val="Compact"/>
              <w:rPr/>
            </w:pPr>
            <w:r>
              <w:rPr/>
            </w:r>
          </w:p>
        </w:tc>
        <w:tc>
          <w:tcPr>
            <w:tcW w:w="1639" w:type="dxa"/>
            <w:tcBorders/>
          </w:tcPr>
          <w:p>
            <w:pPr>
              <w:pStyle w:val="Compact"/>
              <w:jc w:val="left"/>
              <w:rPr/>
            </w:pPr>
            <w:r>
              <w:rPr/>
              <w:t>idem</w:t>
            </w:r>
          </w:p>
        </w:tc>
      </w:tr>
    </w:tbl>
    <w:p>
      <w:pPr>
        <w:pStyle w:val="BodyText"/>
        <w:rPr/>
      </w:pPr>
      <w:r>
        <w:rPr/>
        <w:t xml:space="preserve">Data completării: ……………… Ofertant, </w:t>
      </w:r>
      <w:r>
        <w:rPr>
          <w:i/>
          <w:iCs/>
        </w:rPr>
        <w:t>(semnătură autorizată)</w:t>
      </w:r>
      <w:bookmarkEnd w:id="6"/>
    </w:p>
    <w:p>
      <w:pPr>
        <w:pStyle w:val="Heading2"/>
        <w:rPr/>
      </w:pPr>
      <w:bookmarkStart w:id="7" w:name="Xb2da056382c539cba31a5eb25b20846cc5c84f6"/>
      <w:r>
        <w:rPr/>
        <w:t>Formularul nr. 8 — Declarație privind evitarea dublei finanțări</w:t>
      </w:r>
    </w:p>
    <w:p>
      <w:pPr>
        <w:pStyle w:val="FirstParagraph"/>
        <w:rPr/>
      </w:pPr>
      <w:r>
        <w:rPr/>
        <w:t>Subsemnatul, ……………………, în calitate de reprezentant legal al ……………………, referitor la Procedura organizată de S.C. DFG Active Imobiliare S.R.L., declar pe proprie răspundere, sub sancțiunea falsului în declarații prevăzut la art. 326 din Legea nr. 286/2009 și la art. 18¹ din Legea nr. 78/2000, că:</w:t>
      </w:r>
    </w:p>
    <w:p>
      <w:pPr>
        <w:pStyle w:val="Compact"/>
        <w:numPr>
          <w:ilvl w:val="0"/>
          <w:numId w:val="8"/>
        </w:numPr>
        <w:rPr/>
      </w:pPr>
      <w:r>
        <w:rPr/>
        <w:t>operatorul economic pe care îl reprezint, sau bugetele administrate de acesta ori în numele său, nu a beneficiat și nu beneficiază în prezent de finanțare din fonduri publice nerambursabile de la bugetul național și/sau de la bugetul Uniunii Europene pentru activitățile specifice care fac obiectul prezentei proceduri;</w:t>
      </w:r>
    </w:p>
    <w:p>
      <w:pPr>
        <w:pStyle w:val="Compact"/>
        <w:numPr>
          <w:ilvl w:val="0"/>
          <w:numId w:val="8"/>
        </w:numPr>
        <w:rPr/>
      </w:pPr>
      <w:r>
        <w:rPr/>
        <w:t>nu am cunoștință de vreo situație de dublă finanțare, respectiv de finanțare acordată cu încălcarea prevederilor art. 4 alin. (5) din Regulamentul (UE) 2020/1001.</w:t>
      </w:r>
    </w:p>
    <w:p>
      <w:pPr>
        <w:pStyle w:val="FirstParagraph"/>
        <w:rPr/>
      </w:pPr>
      <w:r>
        <w:rPr/>
        <w:t>Am luat cunoștință că declarația în fals atrage încetarea contractului de achiziție, obligarea la rambursarea sumelor care fac obiectul dublei finanțări și plata de despăgubiri.</w:t>
      </w:r>
    </w:p>
    <w:p>
      <w:pPr>
        <w:pStyle w:val="BodyText"/>
        <w:rPr/>
      </w:pPr>
      <w:r>
        <w:rPr/>
        <w:t xml:space="preserve">Data completării: ……………… Ofertant, </w:t>
      </w:r>
      <w:r>
        <w:rPr>
          <w:i/>
          <w:iCs/>
        </w:rPr>
        <w:t>(semnătură autorizată)</w:t>
      </w:r>
      <w:bookmarkEnd w:id="7"/>
    </w:p>
    <w:p>
      <w:pPr>
        <w:pStyle w:val="Heading2"/>
        <w:rPr/>
      </w:pPr>
      <w:bookmarkStart w:id="8" w:name="formularul-nr.-9-împuternicire"/>
      <w:r>
        <w:rPr/>
        <w:t>Formularul nr. 9 — Împuternicire</w:t>
      </w:r>
    </w:p>
    <w:p>
      <w:pPr>
        <w:pStyle w:val="FirstParagraph"/>
        <w:rPr/>
      </w:pPr>
      <w:r>
        <w:rPr>
          <w:i/>
          <w:iCs/>
        </w:rPr>
        <w:t>Se utilizează numai dacă oferta este semnată de altă persoană decât reprezentantul legal. Conținut standard: identificarea împuternicitului, drepturile de a semna oferta și documentele rezultate pe parcursul Procedurii și de a răspunde solicitărilor de clarificare, cu angajarea deplină a răspunderii ofertantului.</w:t>
      </w:r>
    </w:p>
    <w:p>
      <w:pPr>
        <w:pStyle w:val="BodyText"/>
        <w:rPr/>
      </w:pPr>
      <w:r>
        <w:rPr/>
        <w:t xml:space="preserve">Se întocmește pe antetul Ofertantului și se încheie cu: </w:t>
      </w:r>
      <w:r>
        <w:rPr>
          <w:b/>
          <w:bCs/>
        </w:rPr>
        <w:t>Data completării: ………………</w:t>
      </w:r>
      <w:r>
        <w:rPr/>
        <w:t xml:space="preserve"> și </w:t>
      </w:r>
      <w:r>
        <w:rPr>
          <w:b/>
          <w:bCs/>
        </w:rPr>
        <w:t>Ofertant, …………….</w:t>
      </w:r>
      <w:r>
        <w:rPr/>
        <w:t xml:space="preserve"> </w:t>
      </w:r>
      <w:r>
        <w:rPr>
          <w:i/>
          <w:iCs/>
        </w:rPr>
        <w:t>(nume, funcție, semnătură autorizată)</w:t>
      </w:r>
      <w:r>
        <w:rPr/>
        <w:t>.</w:t>
      </w:r>
      <w:bookmarkEnd w:id="8"/>
    </w:p>
    <w:p>
      <w:pPr>
        <w:pStyle w:val="Heading2"/>
        <w:rPr/>
      </w:pPr>
      <w:bookmarkStart w:id="9" w:name="Xaa73544d7d15fcf3c703275715ae3c9bb2935ae"/>
      <w:r>
        <w:rPr/>
        <w:t>Formularul nr. 10 — Acord fără rezerve cu modelul de contract</w:t>
      </w:r>
    </w:p>
    <w:p>
      <w:pPr>
        <w:pStyle w:val="FirstParagraph"/>
        <w:rPr/>
      </w:pPr>
      <w:r>
        <w:rPr/>
        <w:t xml:space="preserve">Subsemnatul, ……………………, în calitate de reprezentant legal al ……………………, declar că am luat cunoștință de conținutul </w:t>
      </w:r>
      <w:r>
        <w:rPr>
          <w:b/>
          <w:bCs/>
        </w:rPr>
        <w:t>Anexei nr. 4 — Model de contract de achiziție</w:t>
      </w:r>
      <w:r>
        <w:rPr/>
        <w:t xml:space="preserve"> și că </w:t>
      </w:r>
      <w:r>
        <w:rPr>
          <w:b/>
          <w:bCs/>
        </w:rPr>
        <w:t>suntem de acord, integral și fără rezerve, cu termenii acestuia</w:t>
      </w:r>
      <w:r>
        <w:rPr/>
        <w:t>.</w:t>
      </w:r>
    </w:p>
    <w:p>
      <w:pPr>
        <w:pStyle w:val="BodyText"/>
        <w:rPr/>
      </w:pPr>
      <w:r>
        <w:rPr/>
        <w:t>Declarăm expres că:</w:t>
      </w:r>
    </w:p>
    <w:p>
      <w:pPr>
        <w:pStyle w:val="BodyText"/>
        <w:rPr/>
      </w:pPr>
      <w:r>
        <w:rPr>
          <w:b/>
          <w:bCs/>
        </w:rPr>
        <w:t>(a)</w:t>
      </w:r>
      <w:r>
        <w:rPr/>
        <w:t xml:space="preserve"> nu condiționăm oferta de acceptarea vreunei modificări a modelului de contract; </w:t>
      </w:r>
      <w:r>
        <w:rPr>
          <w:b/>
          <w:bCs/>
        </w:rPr>
        <w:t>(b)</w:t>
      </w:r>
      <w:r>
        <w:rPr/>
        <w:t xml:space="preserve"> condițiile noastre generale de vânzare, livrare, prestare sau licențiere </w:t>
      </w:r>
      <w:r>
        <w:rPr>
          <w:b/>
          <w:bCs/>
        </w:rPr>
        <w:t>nu se aplică</w:t>
      </w:r>
      <w:r>
        <w:rPr/>
        <w:t xml:space="preserve"> raportului contractual și nu ne vom prevala de ele, indiferent dacă au fost atașate ofertei, facturilor, documentelor de transport sau oricărei alte corespondențe; </w:t>
      </w:r>
      <w:r>
        <w:rPr>
          <w:b/>
          <w:bCs/>
        </w:rPr>
        <w:t>(c)</w:t>
      </w:r>
      <w:r>
        <w:rPr/>
        <w:t xml:space="preserve"> nu propunem și nu vom invoca nicio clauză de limitare, plafonare sau excludere a răspunderii, altele decât cele prevăzute expres în modelul de contract.</w:t>
      </w:r>
    </w:p>
    <w:p>
      <w:pPr>
        <w:pStyle w:val="BodyText"/>
        <w:rPr/>
      </w:pPr>
      <w:r>
        <w:rPr/>
        <w:t xml:space="preserve">☐ </w:t>
      </w:r>
      <w:r>
        <w:rPr>
          <w:b/>
          <w:bCs/>
        </w:rPr>
        <w:t>Acord integral și fără rezerve</w:t>
      </w:r>
    </w:p>
    <w:p>
      <w:pPr>
        <w:pStyle w:val="BodyText"/>
        <w:rPr/>
      </w:pPr>
      <w:r>
        <w:rPr/>
        <w:t xml:space="preserve">Înțelegem că </w:t>
      </w:r>
      <w:r>
        <w:rPr>
          <w:b/>
          <w:bCs/>
        </w:rPr>
        <w:t>modelul de contract nu este negociabil</w:t>
      </w:r>
      <w:r>
        <w:rPr/>
        <w:t xml:space="preserve"> și că orice ofertă care îl condiționează, îl modifică sau îi atașează termeni suplimentari </w:t>
      </w:r>
      <w:r>
        <w:rPr>
          <w:b/>
          <w:bCs/>
        </w:rPr>
        <w:t>este respinsă ca neconformă</w:t>
      </w:r>
      <w:r>
        <w:rPr/>
        <w:t>.</w:t>
      </w:r>
    </w:p>
    <w:p>
      <w:pPr>
        <w:pStyle w:val="BodyText"/>
        <w:rPr/>
      </w:pPr>
      <w:r>
        <w:rPr/>
        <w:t xml:space="preserve">Data completării: ……………… Ofertant, </w:t>
      </w:r>
      <w:r>
        <w:rPr>
          <w:i/>
          <w:iCs/>
        </w:rPr>
        <w:t>(semnătură autorizată)</w:t>
      </w:r>
      <w:bookmarkEnd w:id="9"/>
    </w:p>
    <w:p>
      <w:pPr>
        <w:pStyle w:val="Heading2"/>
        <w:rPr/>
      </w:pPr>
      <w:bookmarkStart w:id="10" w:name="Xf79b88234ceebe91d9193daca9cf2874d378208"/>
      <w:r>
        <w:rPr/>
        <w:t>Formularul nr. 12 — Model de instrument de garantare a bunei execuții</w:t>
      </w:r>
    </w:p>
    <w:p>
      <w:pPr>
        <w:pStyle w:val="FirstParagraph"/>
        <w:rPr/>
      </w:pPr>
      <w:r>
        <w:rPr>
          <w:i/>
          <w:iCs/>
        </w:rPr>
        <w:t>Se emite pe antetul emitentului — instituție de credit (instrument de tip B1) sau societate de asigurare (instrument de tip B2) care îndeplinește condițiile de la §3.6.2. Textul este model; abaterile sunt admise numai în condițiile de la §3.6.3.</w:t>
      </w:r>
    </w:p>
    <w:p>
      <w:pPr>
        <w:pStyle w:val="BodyText"/>
        <w:rPr/>
      </w:pPr>
      <w:r>
        <w:rPr>
          <w:b/>
          <w:bCs/>
        </w:rPr>
        <w:t>INSTRUMENT DE GARANTARE A BUNEI EXECUȚII nr. ………. din ……….</w:t>
      </w:r>
    </w:p>
    <w:p>
      <w:pPr>
        <w:pStyle w:val="BodyText"/>
        <w:rPr/>
      </w:pPr>
      <w:r>
        <w:rPr/>
        <w:t xml:space="preserve">Către: </w:t>
      </w:r>
      <w:r>
        <w:rPr>
          <w:b/>
          <w:bCs/>
        </w:rPr>
        <w:t>S.C. DFG Active Imobiliare S.R.L.</w:t>
      </w:r>
      <w:r>
        <w:rPr/>
        <w:t>, în calitate de beneficiar al garanției (denumită în continuare „Beneficiarul garanției”)</w:t>
      </w:r>
    </w:p>
    <w:p>
      <w:pPr>
        <w:pStyle w:val="BodyText"/>
        <w:rPr/>
      </w:pPr>
      <w:r>
        <w:rPr/>
        <w:t>Cu privire la Contractul de achiziție nr. ………. din ………., încheiat între Beneficiarul garanției și ………………………… (denumit în continuare „Furnizorul”), având ca obiect execuția în regim EPC la cheie a instalației de stocare a energiei electrice de 6,00 MWh,</w:t>
      </w:r>
    </w:p>
    <w:p>
      <w:pPr>
        <w:pStyle w:val="BodyText"/>
        <w:rPr/>
      </w:pPr>
      <w:r>
        <w:rPr/>
        <w:t>subscrisa ………………………… (denumirea emitentului, sediul, numărul din registrul BNR, al Autorității Bancare Europene sau al ASF), ne obligăm irevocabil și necondiționat față de Beneficiarul garanției, după cum urmează:</w:t>
      </w:r>
    </w:p>
    <w:p>
      <w:pPr>
        <w:pStyle w:val="Compact"/>
        <w:numPr>
          <w:ilvl w:val="0"/>
          <w:numId w:val="19"/>
        </w:numPr>
        <w:rPr/>
      </w:pPr>
      <w:r>
        <w:rPr/>
        <w:t xml:space="preserve">Plătim Beneficiarului garanției orice sumă, până la concurența valorii fixe de </w:t>
      </w:r>
      <w:r>
        <w:rPr>
          <w:b/>
          <w:bCs/>
        </w:rPr>
        <w:t>……………….. lei</w:t>
      </w:r>
      <w:r>
        <w:rPr/>
        <w:t xml:space="preserve">, reprezentând </w:t>
      </w:r>
      <w:r>
        <w:rPr>
          <w:b/>
          <w:bCs/>
        </w:rPr>
        <w:t>10% din valoarea Contractului</w:t>
      </w:r>
      <w:r>
        <w:rPr/>
        <w:t xml:space="preserve">, la </w:t>
      </w:r>
      <w:r>
        <w:rPr>
          <w:b/>
          <w:bCs/>
        </w:rPr>
        <w:t>prima sa cerere scrisă</w:t>
      </w:r>
      <w:r>
        <w:rPr/>
        <w:t>, în care se declară că Furnizorul nu și-a îndeplinit una sau mai multe dintre obligațiile asumate prin Contract, inclusiv plata penalităților, a reducerilor de preț prevăzute la art. 9.6, a despăgubirilor de performanță prevăzute la art. 13.3¹ și a sumelor datorate în temeiul art. 23 din Contract.</w:t>
      </w:r>
    </w:p>
    <w:p>
      <w:pPr>
        <w:pStyle w:val="Compact"/>
        <w:numPr>
          <w:ilvl w:val="0"/>
          <w:numId w:val="3"/>
        </w:numPr>
        <w:rPr/>
      </w:pPr>
      <w:r>
        <w:rPr/>
        <w:t xml:space="preserve">Plata se face în maximum </w:t>
      </w:r>
      <w:r>
        <w:rPr>
          <w:b/>
          <w:bCs/>
        </w:rPr>
        <w:t>15 zile calendaristice</w:t>
      </w:r>
      <w:r>
        <w:rPr/>
        <w:t xml:space="preserve"> de la primirea cererii scrise.</w:t>
      </w:r>
    </w:p>
    <w:p>
      <w:pPr>
        <w:pStyle w:val="Compact"/>
        <w:numPr>
          <w:ilvl w:val="0"/>
          <w:numId w:val="3"/>
        </w:numPr>
        <w:rPr/>
      </w:pPr>
      <w:r>
        <w:rPr/>
        <w:t xml:space="preserve">Prezentul instrument este </w:t>
      </w:r>
      <w:r>
        <w:rPr>
          <w:b/>
          <w:bCs/>
        </w:rPr>
        <w:t>autonom</w:t>
      </w:r>
      <w:r>
        <w:rPr/>
        <w:t xml:space="preserve"> față de Contract și </w:t>
      </w:r>
      <w:r>
        <w:rPr>
          <w:b/>
          <w:bCs/>
        </w:rPr>
        <w:t>nu constituie fideiusiune</w:t>
      </w:r>
      <w:r>
        <w:rPr/>
        <w:t>. Nu avem dreptul de a analiza raportul contractual dintre Beneficiarul garanției și Furnizor și nu condiționăm plata de acordul, confirmarea, semnătura sau necontestarea Furnizorului, de prezentarea unei hotărâri judecătorești ori arbitrale sau de constatarea unui terț.</w:t>
      </w:r>
    </w:p>
    <w:p>
      <w:pPr>
        <w:pStyle w:val="Compact"/>
        <w:numPr>
          <w:ilvl w:val="0"/>
          <w:numId w:val="3"/>
        </w:numPr>
        <w:rPr/>
      </w:pPr>
      <w:r>
        <w:rPr/>
        <w:t>Beneficiarul garanției nu este obligat să dovedească prejudiciul, culpa Furnizorului sau punerea acestuia în întârziere.</w:t>
      </w:r>
    </w:p>
    <w:p>
      <w:pPr>
        <w:pStyle w:val="Compact"/>
        <w:numPr>
          <w:ilvl w:val="0"/>
          <w:numId w:val="3"/>
        </w:numPr>
        <w:rPr/>
      </w:pPr>
      <w:r>
        <w:rPr/>
        <w:t>Renunțăm expres la beneficiul de discuțiune și la beneficiul de diviziune.</w:t>
      </w:r>
    </w:p>
    <w:p>
      <w:pPr>
        <w:pStyle w:val="Compact"/>
        <w:numPr>
          <w:ilvl w:val="0"/>
          <w:numId w:val="3"/>
        </w:numPr>
        <w:rPr/>
      </w:pPr>
      <w:r>
        <w:rPr/>
        <w:t xml:space="preserve">Instrumentul poate fi executat </w:t>
      </w:r>
      <w:r>
        <w:rPr>
          <w:b/>
          <w:bCs/>
        </w:rPr>
        <w:t>parțial, prin cereri succesive</w:t>
      </w:r>
      <w:r>
        <w:rPr/>
        <w:t xml:space="preserve">, până la epuizarea valorii. Valoarea lui </w:t>
      </w:r>
      <w:r>
        <w:rPr>
          <w:b/>
          <w:bCs/>
        </w:rPr>
        <w:t>nu se reduce automat</w:t>
      </w:r>
      <w:r>
        <w:rPr/>
        <w:t>, în timp sau pe măsura execuției, în lipsa acordului scris al Beneficiarului garanției. Nu se aplică nicio franșiză.</w:t>
      </w:r>
    </w:p>
    <w:p>
      <w:pPr>
        <w:pStyle w:val="Compact"/>
        <w:numPr>
          <w:ilvl w:val="0"/>
          <w:numId w:val="3"/>
        </w:numPr>
        <w:rPr/>
      </w:pPr>
      <w:r>
        <w:rPr/>
        <w:t xml:space="preserve">Instrumentul este valabil până la data de ………., respectiv </w:t>
      </w:r>
      <w:r>
        <w:rPr>
          <w:b/>
          <w:bCs/>
        </w:rPr>
        <w:t>Recepția Finală plus 30 de zile</w:t>
      </w:r>
      <w:r>
        <w:rPr/>
        <w:t>, și se prelungește în condițiile art. 7.2 din Contract.</w:t>
      </w:r>
    </w:p>
    <w:p>
      <w:pPr>
        <w:pStyle w:val="Compact"/>
        <w:numPr>
          <w:ilvl w:val="0"/>
          <w:numId w:val="3"/>
        </w:numPr>
        <w:rPr/>
      </w:pPr>
      <w:r>
        <w:rPr/>
        <w:t>Valabilitatea instrumentului nu este afectată de neplata sau plata cu întârziere a primei, a comisionului ori a oricărei alte sume datorate de Furnizor, de declarațiile inexacte ale acestuia, de nerespectarea de către el a obligațiilor față de emitent și nici de actele adiționale la Contract.</w:t>
      </w:r>
    </w:p>
    <w:p>
      <w:pPr>
        <w:pStyle w:val="Compact"/>
        <w:numPr>
          <w:ilvl w:val="0"/>
          <w:numId w:val="3"/>
        </w:numPr>
        <w:rPr/>
      </w:pPr>
      <w:r>
        <w:rPr/>
        <w:t>Instrumentul poate fi cesionat finanțatorului Beneficiarului garanției, cu simpla notificare a emitentului.</w:t>
      </w:r>
    </w:p>
    <w:p>
      <w:pPr>
        <w:pStyle w:val="Compact"/>
        <w:numPr>
          <w:ilvl w:val="0"/>
          <w:numId w:val="3"/>
        </w:numPr>
        <w:rPr/>
      </w:pPr>
      <w:r>
        <w:rPr/>
        <w:t xml:space="preserve">Instrumentul este guvernat de legea română, iar litigiile se soluționează de instanțele competente din România. </w:t>
      </w:r>
      <w:r>
        <w:rPr>
          <w:i/>
          <w:iCs/>
        </w:rPr>
        <w:t>[Numai pentru instrumentele de tip B1:]</w:t>
      </w:r>
      <w:r>
        <w:rPr/>
        <w:t xml:space="preserve"> se aplică, în completare, Regulile Uniforme URDG 758 ale Camerei Internaționale de Comerț, în măsura în care nu contravin prezentului text.</w:t>
      </w:r>
    </w:p>
    <w:p>
      <w:pPr>
        <w:pStyle w:val="Compact"/>
        <w:numPr>
          <w:ilvl w:val="0"/>
          <w:numId w:val="3"/>
        </w:numPr>
        <w:rPr/>
      </w:pPr>
      <w:r>
        <w:rPr>
          <w:i/>
          <w:iCs/>
        </w:rPr>
        <w:t>[Numai pentru instrumentele de tip B2:]</w:t>
      </w:r>
      <w:r>
        <w:rPr/>
        <w:t xml:space="preserve"> Renunțăm expres la orice excepție derivată din raportul de asigurare, în special la neplata sau plata cu întârziere a primei, la declarațiile inexacte ale contractantului asigurării și la nerespectarea de către acesta a obligațiilor din poliță.</w:t>
      </w:r>
    </w:p>
    <w:p>
      <w:pPr>
        <w:pStyle w:val="FirstParagraph"/>
        <w:rPr/>
      </w:pPr>
      <w:r>
        <w:rPr>
          <w:i/>
          <w:iCs/>
        </w:rPr>
        <w:t>[Numai pentru emitenții din afara României:]</w:t>
      </w:r>
      <w:r>
        <w:rPr/>
        <w:t xml:space="preserve"> Instrumentul este plătibil în România / este confirmat de ………………………… (instituție de credit din România).</w:t>
      </w:r>
    </w:p>
    <w:p>
      <w:pPr>
        <w:pStyle w:val="BodyText"/>
        <w:rPr/>
      </w:pPr>
      <w:r>
        <w:rPr>
          <w:b/>
          <w:bCs/>
        </w:rPr>
        <w:t>Data emiterii: ………………</w:t>
      </w:r>
      <w:r>
        <w:rPr/>
        <w:t xml:space="preserve"> </w:t>
      </w:r>
      <w:r>
        <w:rPr>
          <w:b/>
          <w:bCs/>
        </w:rPr>
        <w:t>Emitent, …………….</w:t>
      </w:r>
      <w:r>
        <w:rPr/>
        <w:t xml:space="preserve"> </w:t>
      </w:r>
      <w:r>
        <w:rPr>
          <w:i/>
          <w:iCs/>
        </w:rPr>
        <w:t>(nume, funcție, semnături autorizate)</w:t>
      </w:r>
      <w:bookmarkEnd w:id="10"/>
    </w:p>
    <w:p>
      <w:pPr>
        <w:pStyle w:val="Heading2"/>
        <w:rPr/>
      </w:pPr>
      <w:bookmarkStart w:id="11" w:name="Xd3a138d6fb06bfe047c8ad965ada4cf9dd80141"/>
      <w:r>
        <w:rPr/>
        <w:t>Formularul nr. 13 — Declarație privind originea și conformitatea cu măsurile restrictive ale Uniunii Europene</w:t>
      </w:r>
    </w:p>
    <w:p>
      <w:pPr>
        <w:pStyle w:val="FirstParagraph"/>
        <w:rPr/>
      </w:pPr>
      <w:r>
        <w:rPr>
          <w:i/>
          <w:iCs/>
        </w:rPr>
        <w:t>(model, se completează de ofertant pe propria răspundere)</w:t>
      </w:r>
    </w:p>
    <w:p>
      <w:pPr>
        <w:pStyle w:val="BodyText"/>
        <w:rPr/>
      </w:pPr>
      <w:r>
        <w:rPr/>
        <w:t>Subsemnatul …………………………, reprezentant legal al …………………………, declar pe propria răspundere, sub sancțiunea excluderii din Procedură și a prevederilor art. 326 din Codul penal privind falsul în declarații, că:</w:t>
      </w:r>
    </w:p>
    <w:p>
      <w:pPr>
        <w:pStyle w:val="Compact"/>
        <w:numPr>
          <w:ilvl w:val="0"/>
          <w:numId w:val="20"/>
        </w:numPr>
        <w:rPr/>
      </w:pPr>
      <w:r>
        <w:rPr/>
        <w:t xml:space="preserve">Societatea pe care o reprezint, acționarii, asociații și beneficiarii reali ai acesteia </w:t>
      </w:r>
      <w:r>
        <w:rPr>
          <w:b/>
          <w:bCs/>
        </w:rPr>
        <w:t>nu se află sub incidența măsurilor restrictive</w:t>
      </w:r>
      <w:r>
        <w:rPr/>
        <w:t xml:space="preserve"> adoptate de Uniunea Europeană.</w:t>
      </w:r>
    </w:p>
    <w:p>
      <w:pPr>
        <w:pStyle w:val="Compact"/>
        <w:numPr>
          <w:ilvl w:val="0"/>
          <w:numId w:val="3"/>
        </w:numPr>
        <w:rPr/>
      </w:pPr>
      <w:r>
        <w:rPr/>
        <w:t>Niciunul dintre subcontractanții, subfurnizorii sau furnizorii de echipamente propuși nu se află sub incidența acestor măsuri.</w:t>
      </w:r>
    </w:p>
    <w:p>
      <w:pPr>
        <w:pStyle w:val="Compact"/>
        <w:numPr>
          <w:ilvl w:val="0"/>
          <w:numId w:val="3"/>
        </w:numPr>
        <w:rPr/>
      </w:pPr>
      <w:r>
        <w:rPr/>
        <w:t>Niciun echipament, componentă sau serviciu ofertat nu provine, direct sau indirect, din surse supuse acestor măsuri.</w:t>
      </w:r>
    </w:p>
    <w:p>
      <w:pPr>
        <w:pStyle w:val="Compact"/>
        <w:numPr>
          <w:ilvl w:val="0"/>
          <w:numId w:val="3"/>
        </w:numPr>
        <w:rPr/>
      </w:pPr>
      <w:r>
        <w:rPr/>
        <w:t>Cunosc obligațiile de neeludare prevăzute la art. 12g din Regulamentul (UE) nr. 833/2014 și mă oblig să le respect și să le transpun în contractele cu subcontractanții.</w:t>
      </w:r>
    </w:p>
    <w:p>
      <w:pPr>
        <w:pStyle w:val="Compact"/>
        <w:numPr>
          <w:ilvl w:val="0"/>
          <w:numId w:val="3"/>
        </w:numPr>
        <w:rPr/>
      </w:pPr>
      <w:r>
        <w:rPr/>
        <w:t>Voi notifica de îndată Achizitorul cu privire la orice modificare a situației declarate.</w:t>
      </w:r>
    </w:p>
    <w:p>
      <w:pPr>
        <w:pStyle w:val="FirstParagraph"/>
        <w:rPr/>
      </w:pPr>
      <w:r>
        <w:rPr/>
        <w:t>Anexez prezentei: certificatele de origine sau declarațiile producătorilor pentru echipamentele principale, precum și structura acționariatului până la nivel de beneficiar real.</w:t>
      </w:r>
    </w:p>
    <w:p>
      <w:pPr>
        <w:pStyle w:val="BodyText"/>
        <w:rPr/>
      </w:pPr>
      <w:r>
        <w:rPr/>
        <w:t>Data …………………… Semnătura și ștampila ……………………</w:t>
      </w:r>
      <w:bookmarkEnd w:id="11"/>
    </w:p>
    <w:p>
      <w:pPr>
        <w:pStyle w:val="Heading2"/>
        <w:rPr/>
      </w:pPr>
      <w:bookmarkStart w:id="12" w:name="X2340c8d13fb594ec2e60c58fee7d0e42021cad9"/>
      <w:r>
        <w:rPr/>
        <w:t>Formularul nr. 14 — Macheta Calendarului de Execuție</w:t>
      </w:r>
    </w:p>
    <w:p>
      <w:pPr>
        <w:pStyle w:val="FirstParagraph"/>
        <w:rPr/>
      </w:pPr>
      <w:r>
        <w:rPr>
          <w:i/>
          <w:iCs/>
        </w:rPr>
        <w:t xml:space="preserve">(fișier xlsx editabil, publicat împreună cu celelalte formulare: </w:t>
      </w:r>
      <w:r>
        <w:rPr>
          <w:rStyle w:val="VerbatimChar"/>
          <w:i/>
          <w:iCs/>
        </w:rPr>
        <w:t>Formularul_14_Macheta_Calendar_Executie.xlsx</w:t>
      </w:r>
      <w:r>
        <w:rPr>
          <w:i/>
          <w:iCs/>
        </w:rPr>
        <w:t>)</w:t>
      </w:r>
    </w:p>
    <w:p>
      <w:pPr>
        <w:pStyle w:val="BodyText"/>
        <w:rPr/>
      </w:pPr>
      <w:r>
        <w:rPr/>
        <w:t>Macheta pune în aceeași structură segmentele de la §3.4.1, activitățile de la §3.4.2 și documentele de substanțiere de la §3.4.3. Are următoarele foi:</w:t>
      </w:r>
    </w:p>
    <w:tbl>
      <w:tblPr>
        <w:tblStyle w:val="Table"/>
        <w:tblW w:w="4950" w:type="pct"/>
        <w:jc w:val="left"/>
        <w:tblInd w:w="108" w:type="dxa"/>
        <w:tblLayout w:type="fixed"/>
        <w:tblCellMar>
          <w:top w:w="0" w:type="dxa"/>
          <w:left w:w="108" w:type="dxa"/>
          <w:bottom w:w="0" w:type="dxa"/>
          <w:right w:w="108" w:type="dxa"/>
        </w:tblCellMar>
        <w:tblLook w:noHBand="0" w:noVBand="0" w:firstColumn="0" w:lastRow="0" w:lastColumn="0" w:firstRow="1" w:val="0020"/>
      </w:tblPr>
      <w:tblGrid>
        <w:gridCol w:w="2543"/>
        <w:gridCol w:w="5044"/>
        <w:gridCol w:w="1725"/>
      </w:tblGrid>
      <w:tr>
        <w:trPr>
          <w:tblHeader w:val="true"/>
        </w:trPr>
        <w:tc>
          <w:tcPr>
            <w:tcW w:w="2543" w:type="dxa"/>
            <w:tcBorders>
              <w:bottom w:val="single" w:sz="6" w:space="0" w:color="000000"/>
            </w:tcBorders>
            <w:vAlign w:val="bottom"/>
          </w:tcPr>
          <w:p>
            <w:pPr>
              <w:pStyle w:val="Compact"/>
              <w:jc w:val="left"/>
              <w:rPr/>
            </w:pPr>
            <w:r>
              <w:rPr/>
              <w:t>Foaie</w:t>
            </w:r>
          </w:p>
        </w:tc>
        <w:tc>
          <w:tcPr>
            <w:tcW w:w="5044" w:type="dxa"/>
            <w:tcBorders>
              <w:bottom w:val="single" w:sz="6" w:space="0" w:color="000000"/>
            </w:tcBorders>
            <w:vAlign w:val="bottom"/>
          </w:tcPr>
          <w:p>
            <w:pPr>
              <w:pStyle w:val="Compact"/>
              <w:jc w:val="left"/>
              <w:rPr/>
            </w:pPr>
            <w:r>
              <w:rPr/>
              <w:t>Utilizare</w:t>
            </w:r>
          </w:p>
        </w:tc>
        <w:tc>
          <w:tcPr>
            <w:tcW w:w="1725" w:type="dxa"/>
            <w:tcBorders>
              <w:bottom w:val="single" w:sz="6" w:space="0" w:color="000000"/>
            </w:tcBorders>
            <w:vAlign w:val="bottom"/>
          </w:tcPr>
          <w:p>
            <w:pPr>
              <w:pStyle w:val="Compact"/>
              <w:jc w:val="left"/>
              <w:rPr/>
            </w:pPr>
            <w:r>
              <w:rPr/>
              <w:t>Faza</w:t>
            </w:r>
          </w:p>
        </w:tc>
      </w:tr>
      <w:tr>
        <w:trPr/>
        <w:tc>
          <w:tcPr>
            <w:tcW w:w="2543" w:type="dxa"/>
            <w:tcBorders/>
          </w:tcPr>
          <w:p>
            <w:pPr>
              <w:pStyle w:val="Compact"/>
              <w:jc w:val="left"/>
              <w:rPr/>
            </w:pPr>
            <w:r>
              <w:rPr>
                <w:b/>
                <w:bCs/>
              </w:rPr>
              <w:t>Ofertă</w:t>
            </w:r>
          </w:p>
        </w:tc>
        <w:tc>
          <w:tcPr>
            <w:tcW w:w="5044" w:type="dxa"/>
            <w:tcBorders/>
          </w:tcPr>
          <w:p>
            <w:pPr>
              <w:pStyle w:val="Compact"/>
              <w:jc w:val="left"/>
              <w:rPr/>
            </w:pPr>
            <w:r>
              <w:rPr/>
              <w:t>graficul de execuție în săptămâni de la C0, cu resurse, responsabilități și verificările pct. 5 și 6 de la §3.4.3</w:t>
            </w:r>
          </w:p>
        </w:tc>
        <w:tc>
          <w:tcPr>
            <w:tcW w:w="1725" w:type="dxa"/>
            <w:tcBorders/>
          </w:tcPr>
          <w:p>
            <w:pPr>
              <w:pStyle w:val="Compact"/>
              <w:jc w:val="left"/>
              <w:rPr/>
            </w:pPr>
            <w:r>
              <w:rPr/>
              <w:t>ofertă — recomandată, neobligatorie</w:t>
            </w:r>
          </w:p>
        </w:tc>
      </w:tr>
      <w:tr>
        <w:trPr/>
        <w:tc>
          <w:tcPr>
            <w:tcW w:w="2543" w:type="dxa"/>
            <w:tcBorders/>
          </w:tcPr>
          <w:p>
            <w:pPr>
              <w:pStyle w:val="Compact"/>
              <w:jc w:val="left"/>
              <w:rPr/>
            </w:pPr>
            <w:r>
              <w:rPr>
                <w:b/>
                <w:bCs/>
              </w:rPr>
              <w:t>Jaloane</w:t>
            </w:r>
            <w:r>
              <w:rPr/>
              <w:t xml:space="preserve">, </w:t>
            </w:r>
            <w:r>
              <w:rPr>
                <w:b/>
                <w:bCs/>
              </w:rPr>
              <w:t>Registru</w:t>
            </w:r>
            <w:r>
              <w:rPr/>
              <w:t xml:space="preserve">, </w:t>
            </w:r>
            <w:r>
              <w:rPr>
                <w:b/>
                <w:bCs/>
              </w:rPr>
              <w:t>Tablou de bord</w:t>
            </w:r>
            <w:r>
              <w:rPr/>
              <w:t xml:space="preserve">, </w:t>
            </w:r>
            <w:r>
              <w:rPr>
                <w:b/>
                <w:bCs/>
              </w:rPr>
              <w:t>Gantt</w:t>
            </w:r>
          </w:p>
        </w:tc>
        <w:tc>
          <w:tcPr>
            <w:tcW w:w="5044" w:type="dxa"/>
            <w:tcBorders/>
          </w:tcPr>
          <w:p>
            <w:pPr>
              <w:pStyle w:val="Compact"/>
              <w:jc w:val="left"/>
              <w:rPr/>
            </w:pPr>
            <w:r>
              <w:rPr/>
              <w:t>Calendarul de Execuție: termene, prognoze, date realizate, stări și abateri, cu trimitere la clauzele Contractului</w:t>
            </w:r>
          </w:p>
        </w:tc>
        <w:tc>
          <w:tcPr>
            <w:tcW w:w="1725" w:type="dxa"/>
            <w:tcBorders/>
          </w:tcPr>
          <w:p>
            <w:pPr>
              <w:pStyle w:val="Compact"/>
              <w:jc w:val="left"/>
              <w:rPr/>
            </w:pPr>
            <w:r>
              <w:rPr/>
              <w:t>după semnare — art. 8.2</w:t>
            </w:r>
          </w:p>
        </w:tc>
      </w:tr>
      <w:tr>
        <w:trPr/>
        <w:tc>
          <w:tcPr>
            <w:tcW w:w="2543" w:type="dxa"/>
            <w:tcBorders/>
          </w:tcPr>
          <w:p>
            <w:pPr>
              <w:pStyle w:val="Compact"/>
              <w:jc w:val="left"/>
              <w:rPr/>
            </w:pPr>
            <w:r>
              <w:rPr>
                <w:b/>
                <w:bCs/>
              </w:rPr>
              <w:t>Foaie de parcurs</w:t>
            </w:r>
          </w:p>
        </w:tc>
        <w:tc>
          <w:tcPr>
            <w:tcW w:w="5044" w:type="dxa"/>
            <w:tcBorders/>
          </w:tcPr>
          <w:p>
            <w:pPr>
              <w:pStyle w:val="Compact"/>
              <w:jc w:val="left"/>
              <w:rPr/>
            </w:pPr>
            <w:r>
              <w:rPr/>
              <w:t>stadiul obligațiilor pe segment, cu semnătura uneia sau a ambelor Părți</w:t>
            </w:r>
          </w:p>
        </w:tc>
        <w:tc>
          <w:tcPr>
            <w:tcW w:w="1725" w:type="dxa"/>
            <w:tcBorders/>
          </w:tcPr>
          <w:p>
            <w:pPr>
              <w:pStyle w:val="Compact"/>
              <w:jc w:val="left"/>
              <w:rPr/>
            </w:pPr>
            <w:r>
              <w:rPr/>
              <w:t>după semnare — art. 8.2¹</w:t>
            </w:r>
          </w:p>
        </w:tc>
      </w:tr>
      <w:tr>
        <w:trPr/>
        <w:tc>
          <w:tcPr>
            <w:tcW w:w="2543" w:type="dxa"/>
            <w:tcBorders/>
          </w:tcPr>
          <w:p>
            <w:pPr>
              <w:pStyle w:val="Compact"/>
              <w:jc w:val="left"/>
              <w:rPr/>
            </w:pPr>
            <w:r>
              <w:rPr>
                <w:b/>
                <w:bCs/>
              </w:rPr>
              <w:t>Jurnal</w:t>
            </w:r>
          </w:p>
        </w:tc>
        <w:tc>
          <w:tcPr>
            <w:tcW w:w="5044" w:type="dxa"/>
            <w:tcBorders/>
          </w:tcPr>
          <w:p>
            <w:pPr>
              <w:pStyle w:val="Compact"/>
              <w:jc w:val="left"/>
              <w:rPr/>
            </w:pPr>
            <w:r>
              <w:rPr/>
              <w:t>evidența modificărilor și a acceptării lor de către cealaltă Parte</w:t>
            </w:r>
          </w:p>
        </w:tc>
        <w:tc>
          <w:tcPr>
            <w:tcW w:w="1725" w:type="dxa"/>
            <w:tcBorders/>
          </w:tcPr>
          <w:p>
            <w:pPr>
              <w:pStyle w:val="Compact"/>
              <w:jc w:val="left"/>
              <w:rPr/>
            </w:pPr>
            <w:r>
              <w:rPr/>
              <w:t>după semnare</w:t>
            </w:r>
          </w:p>
        </w:tc>
      </w:tr>
      <w:tr>
        <w:trPr/>
        <w:tc>
          <w:tcPr>
            <w:tcW w:w="2543" w:type="dxa"/>
            <w:tcBorders/>
          </w:tcPr>
          <w:p>
            <w:pPr>
              <w:pStyle w:val="Compact"/>
              <w:jc w:val="left"/>
              <w:rPr/>
            </w:pPr>
            <w:r>
              <w:rPr>
                <w:b/>
                <w:bCs/>
              </w:rPr>
              <w:t>Instrucțiuni</w:t>
            </w:r>
            <w:r>
              <w:rPr/>
              <w:t xml:space="preserve">, </w:t>
            </w:r>
            <w:r>
              <w:rPr>
                <w:b/>
                <w:bCs/>
              </w:rPr>
              <w:t>Sărbători</w:t>
            </w:r>
            <w:r>
              <w:rPr/>
              <w:t xml:space="preserve">, </w:t>
            </w:r>
            <w:r>
              <w:rPr>
                <w:b/>
                <w:bCs/>
              </w:rPr>
              <w:t>Liste</w:t>
            </w:r>
          </w:p>
        </w:tc>
        <w:tc>
          <w:tcPr>
            <w:tcW w:w="5044" w:type="dxa"/>
            <w:tcBorders/>
          </w:tcPr>
          <w:p>
            <w:pPr>
              <w:pStyle w:val="Compact"/>
              <w:jc w:val="left"/>
              <w:rPr/>
            </w:pPr>
            <w:r>
              <w:rPr/>
              <w:t>auxiliare</w:t>
            </w:r>
          </w:p>
        </w:tc>
        <w:tc>
          <w:tcPr>
            <w:tcW w:w="1725" w:type="dxa"/>
            <w:tcBorders/>
          </w:tcPr>
          <w:p>
            <w:pPr>
              <w:pStyle w:val="Compact"/>
              <w:jc w:val="left"/>
              <w:rPr/>
            </w:pPr>
            <w:r>
              <w:rPr/>
              <w:t>—</w:t>
            </w:r>
          </w:p>
        </w:tc>
      </w:tr>
    </w:tbl>
    <w:p>
      <w:pPr>
        <w:pStyle w:val="BodyText"/>
        <w:spacing w:before="74" w:after="85"/>
        <w:rPr/>
      </w:pPr>
      <w:r>
        <w:rPr/>
        <w:t>La ofertă, foaia „Ofertă” nu este obligatorie și nu constituie criteriu de conformitate sau de punctaj (§3.4.3). După semnare, macheta are regimul de la art. 8.2 și 8.2¹ din modelul de contract.</w:t>
      </w:r>
      <w:bookmarkEnd w:id="12"/>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40" w:right="1059" w:gutter="0" w:header="546" w:top="2078" w:footer="330" w:bottom="118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swiss"/>
    <w:pitch w:val="default"/>
  </w:font>
  <w:font w:name="Noto Sans">
    <w:charset w:val="01"/>
    <w:family w:val="swiss"/>
    <w:pitch w:val="default"/>
  </w:font>
  <w:font w:name="Aptos Display">
    <w:charset w:val="01"/>
    <w:family w:val="swiss"/>
    <w:pitch w:val="default"/>
  </w:font>
  <w:font w:name="Consolas">
    <w:charset w:val="01"/>
    <w:family w:val="swiss"/>
    <w:pitch w:val="default"/>
  </w:font>
  <w:font w:name="Liberation Sans">
    <w:altName w:val="Arial"/>
    <w:charset w:val="01"/>
    <w:family w:val="swiss"/>
    <w:pitch w:val="default"/>
  </w:font>
  <w:font w:name="Arial">
    <w:charset w:val="01"/>
    <w:family w:val="swiss"/>
    <w:pitch w:val="default"/>
  </w:font>
  <w:font w:name="Calibri">
    <w:charset w:val="01"/>
    <w:family w:val="swiss"/>
    <w:pitch w:val="default"/>
  </w:font>
  <w:font w:name="Source Sans 3">
    <w:charset w:val="01"/>
    <w:family w:val="swiss"/>
    <w:pitch w:val="default"/>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widowControl/>
      <w:suppressLineNumbers/>
      <w:tabs>
        <w:tab w:val="clear" w:pos="4513"/>
      </w:tabs>
      <w:suppressAutoHyphens w:val="true"/>
      <w:bidi w:val="0"/>
      <w:spacing w:before="0" w:after="0"/>
      <w:ind w:firstLine="907" w:left="0" w:right="0"/>
      <w:jc w:val="right"/>
      <w:rPr>
        <w:rFonts w:ascii="Source Sans 3" w:hAnsi="Source Sans 3"/>
        <w:sz w:val="20"/>
      </w:rPr>
    </w:pPr>
    <w:r>
      <w:rPr>
        <w:rFonts w:ascii="Source Sans 3" w:hAnsi="Source Sans 3"/>
        <w:sz w:val="2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widowControl/>
      <w:suppressLineNumbers/>
      <w:tabs>
        <w:tab w:val="clear" w:pos="4513"/>
      </w:tabs>
      <w:suppressAutoHyphens w:val="true"/>
      <w:bidi w:val="0"/>
      <w:spacing w:before="0" w:after="0"/>
      <w:ind w:firstLine="907" w:left="0" w:right="0"/>
      <w:jc w:val="right"/>
      <w:rPr>
        <w:rFonts w:ascii="Source Sans 3" w:hAnsi="Source Sans 3"/>
        <w:sz w:val="20"/>
      </w:rPr>
    </w:pPr>
    <w:r>
      <w:rPr>
        <w:rFonts w:ascii="Source Sans 3" w:hAnsi="Source Sans 3"/>
        <w:sz w:val="2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leGrid"/>
      <w:tblW w:w="9467" w:type="dxa"/>
      <w:jc w:val="left"/>
      <w:tblInd w:w="108" w:type="dxa"/>
      <w:tblLayout w:type="fixed"/>
      <w:tblCellMar>
        <w:top w:w="0" w:type="dxa"/>
        <w:left w:w="108" w:type="dxa"/>
        <w:bottom w:w="0" w:type="dxa"/>
        <w:right w:w="108" w:type="dxa"/>
      </w:tblCellMar>
      <w:tblLook w:noHBand="0" w:noVBand="1" w:firstColumn="1" w:lastRow="0" w:lastColumn="0" w:firstRow="1" w:val="04a0"/>
    </w:tblPr>
    <w:tblGrid>
      <w:gridCol w:w="1414"/>
      <w:gridCol w:w="6519"/>
      <w:gridCol w:w="1534"/>
    </w:tblGrid>
    <w:tr>
      <w:trPr/>
      <w:tc>
        <w:tcPr>
          <w:tcW w:w="1414" w:type="dxa"/>
          <w:tcBorders/>
        </w:tcPr>
        <w:p>
          <w:pPr>
            <w:pStyle w:val="Header"/>
            <w:widowControl/>
            <w:tabs>
              <w:tab w:val="clear" w:pos="4513"/>
              <w:tab w:val="clear" w:pos="9026"/>
              <w:tab w:val="center" w:pos="4680" w:leader="none"/>
              <w:tab w:val="right" w:pos="9781" w:leader="none"/>
            </w:tabs>
            <w:spacing w:before="120" w:after="120"/>
            <w:jc w:val="left"/>
            <w:rPr>
              <w:lang w:val="ro-RO"/>
            </w:rPr>
          </w:pPr>
          <w:r>
            <w:rPr/>
          </w:r>
        </w:p>
      </w:tc>
      <w:tc>
        <w:tcPr>
          <w:tcW w:w="6519" w:type="dxa"/>
          <w:tcBorders/>
        </w:tcPr>
        <w:p>
          <w:pPr>
            <w:pStyle w:val="BodyText"/>
            <w:widowControl/>
            <w:suppressAutoHyphens w:val="true"/>
            <w:bidi w:val="0"/>
            <w:spacing w:before="74" w:after="85"/>
            <w:jc w:val="left"/>
            <w:rPr>
              <w:rFonts w:eastAsia="" w:cs="" w:cstheme="minorBidi" w:eastAsiaTheme="minorEastAsia"/>
              <w:b/>
              <w:bCs/>
              <w:color w:val="auto"/>
              <w:kern w:val="0"/>
              <w:szCs w:val="24"/>
              <w:lang w:eastAsia="zh-CN" w:bidi="ar-SA"/>
            </w:rPr>
          </w:pPr>
          <w:r>
            <w:rPr/>
          </w:r>
        </w:p>
      </w:tc>
      <w:tc>
        <w:tcPr>
          <w:tcW w:w="1534" w:type="dxa"/>
          <w:tcBorders/>
        </w:tcPr>
        <w:p>
          <w:pPr>
            <w:pStyle w:val="BodyText"/>
            <w:widowControl/>
            <w:suppressAutoHyphens w:val="true"/>
            <w:bidi w:val="0"/>
            <w:spacing w:before="68" w:after="79"/>
            <w:ind w:hanging="0" w:left="113" w:right="0"/>
            <w:jc w:val="right"/>
            <w:rPr>
              <w:rFonts w:eastAsia="" w:cs="" w:cstheme="minorBidi" w:eastAsiaTheme="minorEastAsia"/>
              <w:color w:val="auto"/>
              <w:kern w:val="0"/>
              <w:szCs w:val="24"/>
              <w:lang w:eastAsia="zh-CN" w:bidi="ar-SA"/>
            </w:rPr>
          </w:pPr>
          <w:r>
            <w:rPr>
              <w:rFonts w:eastAsia="" w:cs="" w:cstheme="minorBidi" w:eastAsiaTheme="minorEastAsia"/>
              <w:color w:val="auto"/>
              <w:kern w:val="0"/>
              <w:szCs w:val="24"/>
              <w:lang w:eastAsia="zh-CN" w:bidi="ar-SA"/>
            </w:rPr>
            <w:t xml:space="preserve">pag. </w:t>
          </w:r>
          <w:bookmarkStart w:id="13" w:name="PageNumWizard_FOOTER_Default_Page_Style1"/>
          <w:r>
            <w:rPr>
              <w:rFonts w:eastAsia="" w:cs=""/>
              <w:color w:val="auto"/>
              <w:kern w:val="0"/>
              <w:szCs w:val="24"/>
              <w:lang w:eastAsia="zh-CN" w:bidi="ar-SA"/>
            </w:rPr>
            <w:fldChar w:fldCharType="begin"/>
          </w:r>
          <w:r>
            <w:rPr>
              <w:rFonts w:eastAsia="" w:cs=""/>
              <w:color w:val="auto"/>
              <w:kern w:val="0"/>
              <w:szCs w:val="24"/>
              <w:lang w:eastAsia="zh-CN" w:bidi="ar-SA"/>
            </w:rPr>
            <w:instrText xml:space="preserve"> PAGE </w:instrText>
          </w:r>
          <w:r>
            <w:rPr>
              <w:rFonts w:eastAsia="" w:cs=""/>
              <w:color w:val="auto"/>
              <w:kern w:val="0"/>
              <w:szCs w:val="24"/>
              <w:lang w:eastAsia="zh-CN" w:bidi="ar-SA"/>
            </w:rPr>
            <w:fldChar w:fldCharType="separate"/>
          </w:r>
          <w:r>
            <w:rPr>
              <w:rFonts w:eastAsia="" w:cs=""/>
              <w:color w:val="auto"/>
              <w:kern w:val="0"/>
              <w:szCs w:val="24"/>
              <w:lang w:eastAsia="zh-CN" w:bidi="ar-SA"/>
            </w:rPr>
            <w:t>9</w:t>
          </w:r>
          <w:r>
            <w:rPr>
              <w:rFonts w:eastAsia="" w:cs=""/>
              <w:color w:val="auto"/>
              <w:kern w:val="0"/>
              <w:szCs w:val="24"/>
              <w:lang w:eastAsia="zh-CN" w:bidi="ar-SA"/>
            </w:rPr>
            <w:fldChar w:fldCharType="end"/>
          </w:r>
          <w:r>
            <w:rPr>
              <w:rFonts w:eastAsia="" w:cs="" w:cstheme="minorBidi" w:eastAsiaTheme="minorEastAsia"/>
              <w:color w:val="auto"/>
              <w:kern w:val="0"/>
              <w:szCs w:val="24"/>
              <w:lang w:eastAsia="zh-CN" w:bidi="ar-SA"/>
            </w:rPr>
            <w:t xml:space="preserve">  din  </w:t>
          </w:r>
          <w:r>
            <w:rPr>
              <w:rFonts w:eastAsia="" w:cs=""/>
              <w:color w:val="auto"/>
              <w:kern w:val="0"/>
              <w:szCs w:val="24"/>
              <w:lang w:eastAsia="zh-CN" w:bidi="ar-SA"/>
            </w:rPr>
            <w:fldChar w:fldCharType="begin"/>
          </w:r>
          <w:r>
            <w:rPr>
              <w:rFonts w:eastAsia="" w:cs=""/>
              <w:color w:val="auto"/>
              <w:kern w:val="0"/>
              <w:szCs w:val="24"/>
              <w:lang w:eastAsia="zh-CN" w:bidi="ar-SA"/>
            </w:rPr>
            <w:instrText xml:space="preserve"> NUMPAGES </w:instrText>
          </w:r>
          <w:r>
            <w:rPr>
              <w:rFonts w:eastAsia="" w:cs=""/>
              <w:color w:val="auto"/>
              <w:kern w:val="0"/>
              <w:szCs w:val="24"/>
              <w:lang w:eastAsia="zh-CN" w:bidi="ar-SA"/>
            </w:rPr>
            <w:fldChar w:fldCharType="separate"/>
          </w:r>
          <w:r>
            <w:rPr>
              <w:rFonts w:eastAsia="" w:cs=""/>
              <w:color w:val="auto"/>
              <w:kern w:val="0"/>
              <w:szCs w:val="24"/>
              <w:lang w:eastAsia="zh-CN" w:bidi="ar-SA"/>
            </w:rPr>
            <w:t>9</w:t>
          </w:r>
          <w:r>
            <w:rPr>
              <w:rFonts w:eastAsia="" w:cs=""/>
              <w:color w:val="auto"/>
              <w:kern w:val="0"/>
              <w:szCs w:val="24"/>
              <w:lang w:eastAsia="zh-CN" w:bidi="ar-SA"/>
            </w:rPr>
            <w:fldChar w:fldCharType="end"/>
          </w:r>
          <w:bookmarkEnd w:id="13"/>
        </w:p>
      </w:tc>
    </w:tr>
  </w:tbl>
  <w:p>
    <w:pPr>
      <w:pStyle w:val="Normal"/>
      <w:spacing w:before="0" w:after="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leGrid"/>
      <w:tblW w:w="9467" w:type="dxa"/>
      <w:jc w:val="left"/>
      <w:tblInd w:w="108" w:type="dxa"/>
      <w:tblLayout w:type="fixed"/>
      <w:tblCellMar>
        <w:top w:w="0" w:type="dxa"/>
        <w:left w:w="108" w:type="dxa"/>
        <w:bottom w:w="0" w:type="dxa"/>
        <w:right w:w="108" w:type="dxa"/>
      </w:tblCellMar>
      <w:tblLook w:noHBand="0" w:noVBand="1" w:firstColumn="1" w:lastRow="0" w:lastColumn="0" w:firstRow="1" w:val="04a0"/>
    </w:tblPr>
    <w:tblGrid>
      <w:gridCol w:w="1414"/>
      <w:gridCol w:w="6519"/>
      <w:gridCol w:w="1534"/>
    </w:tblGrid>
    <w:tr>
      <w:trPr/>
      <w:tc>
        <w:tcPr>
          <w:tcW w:w="1414" w:type="dxa"/>
          <w:tcBorders/>
        </w:tcPr>
        <w:p>
          <w:pPr>
            <w:pStyle w:val="Header"/>
            <w:widowControl/>
            <w:tabs>
              <w:tab w:val="clear" w:pos="4513"/>
              <w:tab w:val="clear" w:pos="9026"/>
              <w:tab w:val="center" w:pos="4680" w:leader="none"/>
              <w:tab w:val="right" w:pos="9781" w:leader="none"/>
            </w:tabs>
            <w:spacing w:before="120" w:after="120"/>
            <w:jc w:val="left"/>
            <w:rPr>
              <w:lang w:val="ro-RO"/>
            </w:rPr>
          </w:pPr>
          <w:r>
            <w:rPr/>
          </w:r>
        </w:p>
      </w:tc>
      <w:tc>
        <w:tcPr>
          <w:tcW w:w="6519" w:type="dxa"/>
          <w:tcBorders/>
        </w:tcPr>
        <w:p>
          <w:pPr>
            <w:pStyle w:val="BodyText"/>
            <w:widowControl/>
            <w:suppressAutoHyphens w:val="true"/>
            <w:bidi w:val="0"/>
            <w:spacing w:before="74" w:after="85"/>
            <w:jc w:val="left"/>
            <w:rPr>
              <w:rFonts w:eastAsia="" w:cs="" w:cstheme="minorBidi" w:eastAsiaTheme="minorEastAsia"/>
              <w:b/>
              <w:bCs/>
              <w:color w:val="auto"/>
              <w:kern w:val="0"/>
              <w:szCs w:val="24"/>
              <w:lang w:eastAsia="zh-CN" w:bidi="ar-SA"/>
            </w:rPr>
          </w:pPr>
          <w:r>
            <w:rPr/>
          </w:r>
        </w:p>
      </w:tc>
      <w:tc>
        <w:tcPr>
          <w:tcW w:w="1534" w:type="dxa"/>
          <w:tcBorders/>
        </w:tcPr>
        <w:p>
          <w:pPr>
            <w:pStyle w:val="BodyText"/>
            <w:widowControl/>
            <w:suppressAutoHyphens w:val="true"/>
            <w:bidi w:val="0"/>
            <w:spacing w:before="68" w:after="79"/>
            <w:ind w:hanging="0" w:left="113" w:right="0"/>
            <w:jc w:val="right"/>
            <w:rPr>
              <w:rFonts w:eastAsia="" w:cs="" w:cstheme="minorBidi" w:eastAsiaTheme="minorEastAsia"/>
              <w:color w:val="auto"/>
              <w:kern w:val="0"/>
              <w:szCs w:val="24"/>
              <w:lang w:eastAsia="zh-CN" w:bidi="ar-SA"/>
            </w:rPr>
          </w:pPr>
          <w:r>
            <w:rPr>
              <w:rFonts w:eastAsia="" w:cs="" w:cstheme="minorBidi" w:eastAsiaTheme="minorEastAsia"/>
              <w:color w:val="auto"/>
              <w:kern w:val="0"/>
              <w:szCs w:val="24"/>
              <w:lang w:eastAsia="zh-CN" w:bidi="ar-SA"/>
            </w:rPr>
            <w:t xml:space="preserve">pag. </w:t>
          </w:r>
          <w:bookmarkStart w:id="14" w:name="PageNumWizard_FOOTER_Default_Page_Style1"/>
          <w:r>
            <w:rPr>
              <w:rFonts w:eastAsia="" w:cs=""/>
              <w:color w:val="auto"/>
              <w:kern w:val="0"/>
              <w:szCs w:val="24"/>
              <w:lang w:eastAsia="zh-CN" w:bidi="ar-SA"/>
            </w:rPr>
            <w:fldChar w:fldCharType="begin"/>
          </w:r>
          <w:r>
            <w:rPr>
              <w:rFonts w:eastAsia="" w:cs=""/>
              <w:color w:val="auto"/>
              <w:kern w:val="0"/>
              <w:szCs w:val="24"/>
              <w:lang w:eastAsia="zh-CN" w:bidi="ar-SA"/>
            </w:rPr>
            <w:instrText xml:space="preserve"> PAGE </w:instrText>
          </w:r>
          <w:r>
            <w:rPr>
              <w:rFonts w:eastAsia="" w:cs=""/>
              <w:color w:val="auto"/>
              <w:kern w:val="0"/>
              <w:szCs w:val="24"/>
              <w:lang w:eastAsia="zh-CN" w:bidi="ar-SA"/>
            </w:rPr>
            <w:fldChar w:fldCharType="separate"/>
          </w:r>
          <w:r>
            <w:rPr>
              <w:rFonts w:eastAsia="" w:cs=""/>
              <w:color w:val="auto"/>
              <w:kern w:val="0"/>
              <w:szCs w:val="24"/>
              <w:lang w:eastAsia="zh-CN" w:bidi="ar-SA"/>
            </w:rPr>
            <w:t>9</w:t>
          </w:r>
          <w:r>
            <w:rPr>
              <w:rFonts w:eastAsia="" w:cs=""/>
              <w:color w:val="auto"/>
              <w:kern w:val="0"/>
              <w:szCs w:val="24"/>
              <w:lang w:eastAsia="zh-CN" w:bidi="ar-SA"/>
            </w:rPr>
            <w:fldChar w:fldCharType="end"/>
          </w:r>
          <w:r>
            <w:rPr>
              <w:rFonts w:eastAsia="" w:cs="" w:cstheme="minorBidi" w:eastAsiaTheme="minorEastAsia"/>
              <w:color w:val="auto"/>
              <w:kern w:val="0"/>
              <w:szCs w:val="24"/>
              <w:lang w:eastAsia="zh-CN" w:bidi="ar-SA"/>
            </w:rPr>
            <w:t xml:space="preserve">  din  </w:t>
          </w:r>
          <w:r>
            <w:rPr>
              <w:rFonts w:eastAsia="" w:cs=""/>
              <w:color w:val="auto"/>
              <w:kern w:val="0"/>
              <w:szCs w:val="24"/>
              <w:lang w:eastAsia="zh-CN" w:bidi="ar-SA"/>
            </w:rPr>
            <w:fldChar w:fldCharType="begin"/>
          </w:r>
          <w:r>
            <w:rPr>
              <w:rFonts w:eastAsia="" w:cs=""/>
              <w:color w:val="auto"/>
              <w:kern w:val="0"/>
              <w:szCs w:val="24"/>
              <w:lang w:eastAsia="zh-CN" w:bidi="ar-SA"/>
            </w:rPr>
            <w:instrText xml:space="preserve"> NUMPAGES </w:instrText>
          </w:r>
          <w:r>
            <w:rPr>
              <w:rFonts w:eastAsia="" w:cs=""/>
              <w:color w:val="auto"/>
              <w:kern w:val="0"/>
              <w:szCs w:val="24"/>
              <w:lang w:eastAsia="zh-CN" w:bidi="ar-SA"/>
            </w:rPr>
            <w:fldChar w:fldCharType="separate"/>
          </w:r>
          <w:r>
            <w:rPr>
              <w:rFonts w:eastAsia="" w:cs=""/>
              <w:color w:val="auto"/>
              <w:kern w:val="0"/>
              <w:szCs w:val="24"/>
              <w:lang w:eastAsia="zh-CN" w:bidi="ar-SA"/>
            </w:rPr>
            <w:t>9</w:t>
          </w:r>
          <w:r>
            <w:rPr>
              <w:rFonts w:eastAsia="" w:cs=""/>
              <w:color w:val="auto"/>
              <w:kern w:val="0"/>
              <w:szCs w:val="24"/>
              <w:lang w:eastAsia="zh-CN" w:bidi="ar-SA"/>
            </w:rPr>
            <w:fldChar w:fldCharType="end"/>
          </w:r>
          <w:bookmarkEnd w:id="14"/>
        </w:p>
      </w:tc>
    </w:tr>
  </w:tbl>
  <w:p>
    <w:pPr>
      <w:pStyle w:val="Normal"/>
      <w:spacing w:before="0" w:after="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Letter"/>
      <w:lvlText w:val="%3)"/>
      <w:lvlJc w:val="left"/>
      <w:pPr>
        <w:tabs>
          <w:tab w:val="num" w:pos="0"/>
        </w:tabs>
        <w:ind w:left="2160" w:hanging="360"/>
      </w:pPr>
      <w:rPr/>
    </w:lvl>
    <w:lvl w:ilvl="3">
      <w:start w:val="1"/>
      <w:numFmt w:val="lowerLetter"/>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Letter"/>
      <w:lvlText w:val="%6)"/>
      <w:lvlJc w:val="left"/>
      <w:pPr>
        <w:tabs>
          <w:tab w:val="num" w:pos="0"/>
        </w:tabs>
        <w:ind w:left="4320" w:hanging="360"/>
      </w:pPr>
      <w:rPr/>
    </w:lvl>
    <w:lvl w:ilvl="6">
      <w:start w:val="1"/>
      <w:numFmt w:val="lowerLetter"/>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Letter"/>
      <w:lvlText w:val="%9)"/>
      <w:lvlJc w:val="left"/>
      <w:pPr>
        <w:tabs>
          <w:tab w:val="num" w:pos="0"/>
        </w:tabs>
        <w:ind w:left="6480" w:hanging="360"/>
      </w:pPr>
      <w:rPr/>
    </w:lvl>
  </w:abstractNum>
  <w:abstractNum w:abstractNumId="2">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Letter"/>
      <w:lvlText w:val="%3)"/>
      <w:lvlJc w:val="left"/>
      <w:pPr>
        <w:tabs>
          <w:tab w:val="num" w:pos="0"/>
        </w:tabs>
        <w:ind w:left="2160" w:hanging="360"/>
      </w:pPr>
      <w:rPr/>
    </w:lvl>
    <w:lvl w:ilvl="3">
      <w:start w:val="1"/>
      <w:numFmt w:val="lowerLetter"/>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Letter"/>
      <w:lvlText w:val="%6)"/>
      <w:lvlJc w:val="left"/>
      <w:pPr>
        <w:tabs>
          <w:tab w:val="num" w:pos="0"/>
        </w:tabs>
        <w:ind w:left="4320" w:hanging="360"/>
      </w:pPr>
      <w:rPr/>
    </w:lvl>
    <w:lvl w:ilvl="6">
      <w:start w:val="1"/>
      <w:numFmt w:val="lowerLetter"/>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Letter"/>
      <w:lvlText w:val="%9)"/>
      <w:lvlJc w:val="left"/>
      <w:pPr>
        <w:tabs>
          <w:tab w:val="num" w:pos="0"/>
        </w:tabs>
        <w:ind w:left="6480" w:hanging="360"/>
      </w:pPr>
      <w:rPr/>
    </w:lvl>
  </w:abstractNum>
  <w:abstractNum w:abstractNumId="3">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4">
    <w:lvl w:ilvl="0">
      <w:start w:val="2"/>
      <w:numFmt w:val="decimal"/>
      <w:lvlText w:val="%1."/>
      <w:lvlJc w:val="left"/>
      <w:pPr>
        <w:tabs>
          <w:tab w:val="num" w:pos="0"/>
        </w:tabs>
        <w:ind w:left="720" w:hanging="360"/>
      </w:pPr>
      <w:rPr/>
    </w:lvl>
    <w:lvl w:ilvl="1">
      <w:start w:val="2"/>
      <w:numFmt w:val="decimal"/>
      <w:lvlText w:val="%2."/>
      <w:lvlJc w:val="left"/>
      <w:pPr>
        <w:tabs>
          <w:tab w:val="num" w:pos="0"/>
        </w:tabs>
        <w:ind w:left="1440" w:hanging="360"/>
      </w:pPr>
      <w:rPr/>
    </w:lvl>
    <w:lvl w:ilvl="2">
      <w:start w:val="2"/>
      <w:numFmt w:val="decimal"/>
      <w:lvlText w:val="%3."/>
      <w:lvlJc w:val="left"/>
      <w:pPr>
        <w:tabs>
          <w:tab w:val="num" w:pos="0"/>
        </w:tabs>
        <w:ind w:left="2160" w:hanging="360"/>
      </w:pPr>
      <w:rPr/>
    </w:lvl>
    <w:lvl w:ilvl="3">
      <w:start w:val="2"/>
      <w:numFmt w:val="decimal"/>
      <w:lvlText w:val="%4."/>
      <w:lvlJc w:val="left"/>
      <w:pPr>
        <w:tabs>
          <w:tab w:val="num" w:pos="0"/>
        </w:tabs>
        <w:ind w:left="2880" w:hanging="360"/>
      </w:pPr>
      <w:rPr/>
    </w:lvl>
    <w:lvl w:ilvl="4">
      <w:start w:val="2"/>
      <w:numFmt w:val="decimal"/>
      <w:lvlText w:val="%5."/>
      <w:lvlJc w:val="left"/>
      <w:pPr>
        <w:tabs>
          <w:tab w:val="num" w:pos="0"/>
        </w:tabs>
        <w:ind w:left="3600" w:hanging="360"/>
      </w:pPr>
      <w:rPr/>
    </w:lvl>
    <w:lvl w:ilvl="5">
      <w:start w:val="2"/>
      <w:numFmt w:val="decimal"/>
      <w:lvlText w:val="%6."/>
      <w:lvlJc w:val="left"/>
      <w:pPr>
        <w:tabs>
          <w:tab w:val="num" w:pos="0"/>
        </w:tabs>
        <w:ind w:left="4320" w:hanging="360"/>
      </w:pPr>
      <w:rPr/>
    </w:lvl>
    <w:lvl w:ilvl="6">
      <w:start w:val="2"/>
      <w:numFmt w:val="decimal"/>
      <w:lvlText w:val="%7."/>
      <w:lvlJc w:val="left"/>
      <w:pPr>
        <w:tabs>
          <w:tab w:val="num" w:pos="0"/>
        </w:tabs>
        <w:ind w:left="5040" w:hanging="360"/>
      </w:pPr>
      <w:rPr/>
    </w:lvl>
    <w:lvl w:ilvl="7">
      <w:start w:val="2"/>
      <w:numFmt w:val="decimal"/>
      <w:lvlText w:val="%8."/>
      <w:lvlJc w:val="left"/>
      <w:pPr>
        <w:tabs>
          <w:tab w:val="num" w:pos="0"/>
        </w:tabs>
        <w:ind w:left="5760" w:hanging="360"/>
      </w:pPr>
      <w:rPr/>
    </w:lvl>
    <w:lvl w:ilvl="8">
      <w:start w:val="2"/>
      <w:numFmt w:val="decimal"/>
      <w:lvlText w:val="%9."/>
      <w:lvlJc w:val="left"/>
      <w:pPr>
        <w:tabs>
          <w:tab w:val="num" w:pos="0"/>
        </w:tabs>
        <w:ind w:left="6480" w:hanging="360"/>
      </w:pPr>
      <w:rPr/>
    </w:lvl>
  </w:abstractNum>
  <w:abstractNum w:abstractNumId="5">
    <w:lvl w:ilvl="0">
      <w:start w:val="3"/>
      <w:numFmt w:val="decimal"/>
      <w:lvlText w:val="%1."/>
      <w:lvlJc w:val="left"/>
      <w:pPr>
        <w:tabs>
          <w:tab w:val="num" w:pos="0"/>
        </w:tabs>
        <w:ind w:left="720" w:hanging="360"/>
      </w:pPr>
      <w:rPr/>
    </w:lvl>
    <w:lvl w:ilvl="1">
      <w:start w:val="3"/>
      <w:numFmt w:val="decimal"/>
      <w:lvlText w:val="%2."/>
      <w:lvlJc w:val="left"/>
      <w:pPr>
        <w:tabs>
          <w:tab w:val="num" w:pos="0"/>
        </w:tabs>
        <w:ind w:left="1440" w:hanging="360"/>
      </w:pPr>
      <w:rPr/>
    </w:lvl>
    <w:lvl w:ilvl="2">
      <w:start w:val="3"/>
      <w:numFmt w:val="decimal"/>
      <w:lvlText w:val="%3."/>
      <w:lvlJc w:val="left"/>
      <w:pPr>
        <w:tabs>
          <w:tab w:val="num" w:pos="0"/>
        </w:tabs>
        <w:ind w:left="2160" w:hanging="360"/>
      </w:pPr>
      <w:rPr/>
    </w:lvl>
    <w:lvl w:ilvl="3">
      <w:start w:val="3"/>
      <w:numFmt w:val="decimal"/>
      <w:lvlText w:val="%4."/>
      <w:lvlJc w:val="left"/>
      <w:pPr>
        <w:tabs>
          <w:tab w:val="num" w:pos="0"/>
        </w:tabs>
        <w:ind w:left="2880" w:hanging="360"/>
      </w:pPr>
      <w:rPr/>
    </w:lvl>
    <w:lvl w:ilvl="4">
      <w:start w:val="3"/>
      <w:numFmt w:val="decimal"/>
      <w:lvlText w:val="%5."/>
      <w:lvlJc w:val="left"/>
      <w:pPr>
        <w:tabs>
          <w:tab w:val="num" w:pos="0"/>
        </w:tabs>
        <w:ind w:left="3600" w:hanging="360"/>
      </w:pPr>
      <w:rPr/>
    </w:lvl>
    <w:lvl w:ilvl="5">
      <w:start w:val="3"/>
      <w:numFmt w:val="decimal"/>
      <w:lvlText w:val="%6."/>
      <w:lvlJc w:val="left"/>
      <w:pPr>
        <w:tabs>
          <w:tab w:val="num" w:pos="0"/>
        </w:tabs>
        <w:ind w:left="4320" w:hanging="360"/>
      </w:pPr>
      <w:rPr/>
    </w:lvl>
    <w:lvl w:ilvl="6">
      <w:start w:val="3"/>
      <w:numFmt w:val="decimal"/>
      <w:lvlText w:val="%7."/>
      <w:lvlJc w:val="left"/>
      <w:pPr>
        <w:tabs>
          <w:tab w:val="num" w:pos="0"/>
        </w:tabs>
        <w:ind w:left="5040" w:hanging="360"/>
      </w:pPr>
      <w:rPr/>
    </w:lvl>
    <w:lvl w:ilvl="7">
      <w:start w:val="3"/>
      <w:numFmt w:val="decimal"/>
      <w:lvlText w:val="%8."/>
      <w:lvlJc w:val="left"/>
      <w:pPr>
        <w:tabs>
          <w:tab w:val="num" w:pos="0"/>
        </w:tabs>
        <w:ind w:left="5760" w:hanging="360"/>
      </w:pPr>
      <w:rPr/>
    </w:lvl>
    <w:lvl w:ilvl="8">
      <w:start w:val="3"/>
      <w:numFmt w:val="decimal"/>
      <w:lvlText w:val="%9."/>
      <w:lvlJc w:val="left"/>
      <w:pPr>
        <w:tabs>
          <w:tab w:val="num" w:pos="0"/>
        </w:tabs>
        <w:ind w:left="6480" w:hanging="360"/>
      </w:pPr>
      <w:rPr/>
    </w:lvl>
  </w:abstractNum>
  <w:abstractNum w:abstractNumId="6">
    <w:lvl w:ilvl="0">
      <w:start w:val="4"/>
      <w:numFmt w:val="decimal"/>
      <w:lvlText w:val="%1."/>
      <w:lvlJc w:val="left"/>
      <w:pPr>
        <w:tabs>
          <w:tab w:val="num" w:pos="0"/>
        </w:tabs>
        <w:ind w:left="720" w:hanging="360"/>
      </w:pPr>
      <w:rPr/>
    </w:lvl>
    <w:lvl w:ilvl="1">
      <w:start w:val="4"/>
      <w:numFmt w:val="decimal"/>
      <w:lvlText w:val="%2."/>
      <w:lvlJc w:val="left"/>
      <w:pPr>
        <w:tabs>
          <w:tab w:val="num" w:pos="0"/>
        </w:tabs>
        <w:ind w:left="1440" w:hanging="360"/>
      </w:pPr>
      <w:rPr/>
    </w:lvl>
    <w:lvl w:ilvl="2">
      <w:start w:val="4"/>
      <w:numFmt w:val="decimal"/>
      <w:lvlText w:val="%3."/>
      <w:lvlJc w:val="left"/>
      <w:pPr>
        <w:tabs>
          <w:tab w:val="num" w:pos="0"/>
        </w:tabs>
        <w:ind w:left="2160" w:hanging="360"/>
      </w:pPr>
      <w:rPr/>
    </w:lvl>
    <w:lvl w:ilvl="3">
      <w:start w:val="4"/>
      <w:numFmt w:val="decimal"/>
      <w:lvlText w:val="%4."/>
      <w:lvlJc w:val="left"/>
      <w:pPr>
        <w:tabs>
          <w:tab w:val="num" w:pos="0"/>
        </w:tabs>
        <w:ind w:left="2880" w:hanging="360"/>
      </w:pPr>
      <w:rPr/>
    </w:lvl>
    <w:lvl w:ilvl="4">
      <w:start w:val="4"/>
      <w:numFmt w:val="decimal"/>
      <w:lvlText w:val="%5."/>
      <w:lvlJc w:val="left"/>
      <w:pPr>
        <w:tabs>
          <w:tab w:val="num" w:pos="0"/>
        </w:tabs>
        <w:ind w:left="3600" w:hanging="360"/>
      </w:pPr>
      <w:rPr/>
    </w:lvl>
    <w:lvl w:ilvl="5">
      <w:start w:val="4"/>
      <w:numFmt w:val="decimal"/>
      <w:lvlText w:val="%6."/>
      <w:lvlJc w:val="left"/>
      <w:pPr>
        <w:tabs>
          <w:tab w:val="num" w:pos="0"/>
        </w:tabs>
        <w:ind w:left="4320" w:hanging="360"/>
      </w:pPr>
      <w:rPr/>
    </w:lvl>
    <w:lvl w:ilvl="6">
      <w:start w:val="4"/>
      <w:numFmt w:val="decimal"/>
      <w:lvlText w:val="%7."/>
      <w:lvlJc w:val="left"/>
      <w:pPr>
        <w:tabs>
          <w:tab w:val="num" w:pos="0"/>
        </w:tabs>
        <w:ind w:left="5040" w:hanging="360"/>
      </w:pPr>
      <w:rPr/>
    </w:lvl>
    <w:lvl w:ilvl="7">
      <w:start w:val="4"/>
      <w:numFmt w:val="decimal"/>
      <w:lvlText w:val="%8."/>
      <w:lvlJc w:val="left"/>
      <w:pPr>
        <w:tabs>
          <w:tab w:val="num" w:pos="0"/>
        </w:tabs>
        <w:ind w:left="5760" w:hanging="360"/>
      </w:pPr>
      <w:rPr/>
    </w:lvl>
    <w:lvl w:ilvl="8">
      <w:start w:val="4"/>
      <w:numFmt w:val="decimal"/>
      <w:lvlText w:val="%9."/>
      <w:lvlJc w:val="left"/>
      <w:pPr>
        <w:tabs>
          <w:tab w:val="num" w:pos="0"/>
        </w:tabs>
        <w:ind w:left="6480" w:hanging="360"/>
      </w:pPr>
      <w:rPr/>
    </w:lvl>
  </w:abstractNum>
  <w:abstractNum w:abstractNumId="7">
    <w:lvl w:ilvl="0">
      <w:start w:val="5"/>
      <w:numFmt w:val="decimal"/>
      <w:lvlText w:val="%1."/>
      <w:lvlJc w:val="left"/>
      <w:pPr>
        <w:tabs>
          <w:tab w:val="num" w:pos="0"/>
        </w:tabs>
        <w:ind w:left="720" w:hanging="360"/>
      </w:pPr>
      <w:rPr/>
    </w:lvl>
    <w:lvl w:ilvl="1">
      <w:start w:val="5"/>
      <w:numFmt w:val="decimal"/>
      <w:lvlText w:val="%2."/>
      <w:lvlJc w:val="left"/>
      <w:pPr>
        <w:tabs>
          <w:tab w:val="num" w:pos="0"/>
        </w:tabs>
        <w:ind w:left="1440" w:hanging="360"/>
      </w:pPr>
      <w:rPr/>
    </w:lvl>
    <w:lvl w:ilvl="2">
      <w:start w:val="5"/>
      <w:numFmt w:val="decimal"/>
      <w:lvlText w:val="%3."/>
      <w:lvlJc w:val="left"/>
      <w:pPr>
        <w:tabs>
          <w:tab w:val="num" w:pos="0"/>
        </w:tabs>
        <w:ind w:left="2160" w:hanging="360"/>
      </w:pPr>
      <w:rPr/>
    </w:lvl>
    <w:lvl w:ilvl="3">
      <w:start w:val="5"/>
      <w:numFmt w:val="decimal"/>
      <w:lvlText w:val="%4."/>
      <w:lvlJc w:val="left"/>
      <w:pPr>
        <w:tabs>
          <w:tab w:val="num" w:pos="0"/>
        </w:tabs>
        <w:ind w:left="2880" w:hanging="360"/>
      </w:pPr>
      <w:rPr/>
    </w:lvl>
    <w:lvl w:ilvl="4">
      <w:start w:val="5"/>
      <w:numFmt w:val="decimal"/>
      <w:lvlText w:val="%5."/>
      <w:lvlJc w:val="left"/>
      <w:pPr>
        <w:tabs>
          <w:tab w:val="num" w:pos="0"/>
        </w:tabs>
        <w:ind w:left="3600" w:hanging="360"/>
      </w:pPr>
      <w:rPr/>
    </w:lvl>
    <w:lvl w:ilvl="5">
      <w:start w:val="5"/>
      <w:numFmt w:val="decimal"/>
      <w:lvlText w:val="%6."/>
      <w:lvlJc w:val="left"/>
      <w:pPr>
        <w:tabs>
          <w:tab w:val="num" w:pos="0"/>
        </w:tabs>
        <w:ind w:left="4320" w:hanging="360"/>
      </w:pPr>
      <w:rPr/>
    </w:lvl>
    <w:lvl w:ilvl="6">
      <w:start w:val="5"/>
      <w:numFmt w:val="decimal"/>
      <w:lvlText w:val="%7."/>
      <w:lvlJc w:val="left"/>
      <w:pPr>
        <w:tabs>
          <w:tab w:val="num" w:pos="0"/>
        </w:tabs>
        <w:ind w:left="5040" w:hanging="360"/>
      </w:pPr>
      <w:rPr/>
    </w:lvl>
    <w:lvl w:ilvl="7">
      <w:start w:val="5"/>
      <w:numFmt w:val="decimal"/>
      <w:lvlText w:val="%8."/>
      <w:lvlJc w:val="left"/>
      <w:pPr>
        <w:tabs>
          <w:tab w:val="num" w:pos="0"/>
        </w:tabs>
        <w:ind w:left="5760" w:hanging="360"/>
      </w:pPr>
      <w:rPr/>
    </w:lvl>
    <w:lvl w:ilvl="8">
      <w:start w:val="5"/>
      <w:numFmt w:val="decimal"/>
      <w:lvlText w:val="%9."/>
      <w:lvlJc w:val="left"/>
      <w:pPr>
        <w:tabs>
          <w:tab w:val="num" w:pos="0"/>
        </w:tabs>
        <w:ind w:left="6480" w:hanging="360"/>
      </w:pPr>
      <w:rPr/>
    </w:lvl>
  </w:abstractNum>
  <w:abstractNum w:abstractNumId="8">
    <w:lvl w:ilvl="0">
      <w:numFmt w:val="bullet"/>
      <w:lvlText w:val=""/>
      <w:lvlJc w:val="left"/>
      <w:pPr>
        <w:tabs>
          <w:tab w:val="num" w:pos="0"/>
        </w:tabs>
        <w:ind w:left="720" w:hanging="360"/>
      </w:pPr>
      <w:rPr>
        <w:rFonts w:ascii="Symbol" w:hAnsi="Symbol" w:cs="Symbol"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Symbol" w:hAnsi="Symbol" w:cs="Symbol"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Symbol" w:hAnsi="Symbol" w:cs="Symbol"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10">
    <w:lvl w:ilvl="0">
      <w:start w:val="1"/>
      <w:numFmt w:val="decimal"/>
      <w:lvlText w:val="%1."/>
      <w:lvlJc w:val="left"/>
      <w:pPr>
        <w:tabs>
          <w:tab w:val="num" w:pos="0"/>
        </w:tabs>
        <w:ind w:left="720" w:hanging="360"/>
      </w:pPr>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1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
    <w:lvlOverride w:ilvl="0">
      <w:startOverride w:val="1"/>
    </w:lvlOverride>
  </w:num>
  <w:num w:numId="13">
    <w:abstractNumId w:val="1"/>
    <w:lvlOverride w:ilvl="0">
      <w:startOverride w:val="1"/>
    </w:lvlOverride>
  </w:num>
  <w:num w:numId="14">
    <w:abstractNumId w:val="3"/>
    <w:lvlOverride w:ilvl="0">
      <w:startOverride w:val="1"/>
    </w:lvlOverride>
  </w:num>
  <w:num w:numId="15">
    <w:abstractNumId w:val="4"/>
    <w:lvlOverride w:ilvl="0">
      <w:startOverride w:val="2"/>
    </w:lvlOverride>
  </w:num>
  <w:num w:numId="16">
    <w:abstractNumId w:val="5"/>
    <w:lvlOverride w:ilvl="0">
      <w:startOverride w:val="3"/>
    </w:lvlOverride>
  </w:num>
  <w:num w:numId="17">
    <w:abstractNumId w:val="6"/>
    <w:lvlOverride w:ilvl="0">
      <w:startOverride w:val="4"/>
    </w:lvlOverride>
  </w:num>
  <w:num w:numId="18">
    <w:abstractNumId w:val="7"/>
    <w:lvlOverride w:ilvl="0">
      <w:startOverride w:val="5"/>
    </w:lvlOverride>
  </w:num>
  <w:num w:numId="19">
    <w:abstractNumId w:val="3"/>
    <w:lvlOverride w:ilvl="0">
      <w:startOverride w:val="1"/>
    </w:lvlOverride>
  </w:num>
  <w:num w:numId="20">
    <w:abstractNumId w:val="3"/>
    <w:lvlOverride w:ilvl="0">
      <w:startOverride w:val="1"/>
    </w:lvlOverride>
  </w:num>
</w:numbering>
</file>

<file path=word/settings.xml><?xml version="1.0" encoding="utf-8"?>
<w:settings xmlns:w="http://schemas.openxmlformats.org/wordprocessingml/2006/main">
  <w:zoom w:percent="200"/>
  <w:embedSystemFonts/>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 w:cs="" w:asciiTheme="minorHAnsi" w:cstheme="minorBidi" w:eastAsiaTheme="minorEastAsia" w:hAnsiTheme="minorHAnsi"/>
        <w:sz w:val="24"/>
        <w:szCs w:val="24"/>
        <w:lang w:val="en-US" w:eastAsia="zh-CN" w:bidi="ar-SA"/>
      </w:rPr>
    </w:rPrDefault>
    <w:pPrDefault>
      <w:pPr>
        <w:suppressAutoHyphens w:val="true"/>
      </w:pPr>
    </w:pPrDefault>
  </w:docDefaults>
  <w:latentStyles w:defLockedState="0" w:defUIPriority="0" w:defSemiHidden="0" w:defUnhideWhenUsed="0" w:defQFormat="0" w:count="276"/>
  <w:style w:type="paragraph" w:styleId="Normal" w:default="1">
    <w:name w:val="Normal"/>
    <w:qFormat/>
    <w:pPr>
      <w:widowControl/>
      <w:suppressAutoHyphens w:val="true"/>
      <w:bidi w:val="0"/>
      <w:spacing w:before="0" w:after="200"/>
      <w:jc w:val="left"/>
    </w:pPr>
    <w:rPr>
      <w:rFonts w:ascii="Aptos" w:hAnsi="Aptos" w:eastAsia="" w:cs="" w:asciiTheme="minorHAnsi" w:cstheme="minorBidi" w:eastAsiaTheme="minorEastAsia" w:hAnsiTheme="minorHAnsi"/>
      <w:color w:val="auto"/>
      <w:kern w:val="0"/>
      <w:sz w:val="24"/>
      <w:szCs w:val="24"/>
      <w:lang w:val="en-US" w:eastAsia="zh-CN" w:bidi="ar-SA"/>
    </w:rPr>
  </w:style>
  <w:style w:type="paragraph" w:styleId="Heading1">
    <w:name w:val="heading 1"/>
    <w:basedOn w:val="Normal"/>
    <w:next w:val="BodyText"/>
    <w:link w:val="Heading1Char"/>
    <w:uiPriority w:val="9"/>
    <w:qFormat/>
    <w:rsid w:val="00a10fd9"/>
    <w:pPr>
      <w:keepNext w:val="true"/>
      <w:keepLines/>
      <w:spacing w:before="113" w:after="113"/>
      <w:outlineLvl w:val="0"/>
    </w:pPr>
    <w:rPr>
      <w:rFonts w:ascii="Noto Sans" w:hAnsi="Noto Sans" w:eastAsia="" w:cs="" w:cstheme="majorBidi" w:eastAsiaTheme="majorEastAsia"/>
      <w:b/>
      <w:bCs/>
      <w:color w:val="auto"/>
      <w:sz w:val="32"/>
      <w:szCs w:val="40"/>
      <w:lang w:val="ro-RO"/>
    </w:rPr>
  </w:style>
  <w:style w:type="paragraph" w:styleId="Heading2">
    <w:name w:val="heading 2"/>
    <w:basedOn w:val="Normal"/>
    <w:next w:val="BodyText"/>
    <w:link w:val="Heading2Char"/>
    <w:uiPriority w:val="9"/>
    <w:semiHidden/>
    <w:unhideWhenUsed/>
    <w:qFormat/>
    <w:rsid w:val="00a10fd9"/>
    <w:pPr>
      <w:keepNext w:val="true"/>
      <w:keepLines/>
      <w:spacing w:before="227" w:after="113"/>
      <w:outlineLvl w:val="1"/>
    </w:pPr>
    <w:rPr>
      <w:rFonts w:ascii="Noto Sans" w:hAnsi="Noto Sans" w:eastAsia="" w:cs="" w:cstheme="majorBidi" w:eastAsiaTheme="majorEastAsia"/>
      <w:b/>
      <w:bCs/>
      <w:color w:val="auto"/>
      <w:sz w:val="30"/>
      <w:szCs w:val="32"/>
      <w:lang w:val="ro-RO"/>
    </w:rPr>
  </w:style>
  <w:style w:type="paragraph" w:styleId="Heading3">
    <w:name w:val="heading 3"/>
    <w:basedOn w:val="Normal"/>
    <w:next w:val="BodyText"/>
    <w:link w:val="Heading3Char"/>
    <w:uiPriority w:val="9"/>
    <w:semiHidden/>
    <w:unhideWhenUsed/>
    <w:qFormat/>
    <w:rsid w:val="00a10fd9"/>
    <w:pPr>
      <w:keepNext w:val="true"/>
      <w:keepLines/>
      <w:spacing w:before="198" w:after="85"/>
      <w:outlineLvl w:val="2"/>
    </w:pPr>
    <w:rPr>
      <w:rFonts w:ascii="Noto Sans" w:hAnsi="Noto Sans" w:eastAsia="" w:cs="" w:cstheme="majorBidi" w:eastAsiaTheme="majorEastAsia"/>
      <w:b/>
      <w:bCs/>
      <w:color w:val="auto"/>
      <w:sz w:val="26"/>
      <w:szCs w:val="28"/>
      <w:lang w:val="ro-RO"/>
    </w:rPr>
  </w:style>
  <w:style w:type="paragraph" w:styleId="Heading4">
    <w:name w:val="heading 4"/>
    <w:basedOn w:val="Normal"/>
    <w:next w:val="BodyText"/>
    <w:link w:val="Heading4Char"/>
    <w:uiPriority w:val="9"/>
    <w:semiHidden/>
    <w:unhideWhenUsed/>
    <w:qFormat/>
    <w:rsid w:val="00a10fd9"/>
    <w:pPr>
      <w:keepNext w:val="true"/>
      <w:keepLines/>
      <w:spacing w:before="142" w:after="57"/>
      <w:outlineLvl w:val="3"/>
    </w:pPr>
    <w:rPr>
      <w:rFonts w:ascii="Noto Sans" w:hAnsi="Noto Sans" w:eastAsia="" w:cs="" w:cstheme="majorBidi" w:eastAsiaTheme="majorEastAsia"/>
      <w:b/>
      <w:bCs/>
      <w:i w:val="false"/>
      <w:iCs/>
      <w:color w:val="auto"/>
      <w:sz w:val="22"/>
      <w:lang w:val="ro-RO"/>
    </w:rPr>
  </w:style>
  <w:style w:type="paragraph" w:styleId="Heading5">
    <w:name w:val="heading 5"/>
    <w:basedOn w:val="Normal"/>
    <w:next w:val="BodyText"/>
    <w:link w:val="Heading5Char"/>
    <w:uiPriority w:val="9"/>
    <w:semiHidden/>
    <w:unhideWhenUsed/>
    <w:qFormat/>
    <w:rsid w:val="00a10fd9"/>
    <w:pPr>
      <w:keepNext w:val="true"/>
      <w:keepLines/>
      <w:spacing w:before="113" w:after="57"/>
      <w:outlineLvl w:val="4"/>
    </w:pPr>
    <w:rPr>
      <w:rFonts w:ascii="Noto Sans" w:hAnsi="Noto Sans" w:eastAsia="" w:cs="" w:cstheme="majorBidi" w:eastAsiaTheme="majorEastAsia"/>
      <w:b/>
      <w:color w:val="auto"/>
      <w:sz w:val="20"/>
      <w:lang w:val="ro-RO"/>
    </w:rPr>
  </w:style>
  <w:style w:type="paragraph" w:styleId="Heading6">
    <w:name w:val="heading 6"/>
    <w:basedOn w:val="Normal"/>
    <w:next w:val="BodyText"/>
    <w:link w:val="Heading6Char"/>
    <w:uiPriority w:val="9"/>
    <w:semiHidden/>
    <w:unhideWhenUsed/>
    <w:qFormat/>
    <w:rsid w:val="00a10fd9"/>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BodyText"/>
    <w:link w:val="Heading7Char"/>
    <w:uiPriority w:val="9"/>
    <w:semiHidden/>
    <w:unhideWhenUsed/>
    <w:qFormat/>
    <w:rsid w:val="00a10fd9"/>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BodyText"/>
    <w:link w:val="Heading8Char"/>
    <w:uiPriority w:val="9"/>
    <w:semiHidden/>
    <w:unhideWhenUsed/>
    <w:qFormat/>
    <w:rsid w:val="00a10fd9"/>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BodyText"/>
    <w:link w:val="Heading9Char"/>
    <w:uiPriority w:val="9"/>
    <w:semiHidden/>
    <w:unhideWhenUsed/>
    <w:qFormat/>
    <w:rsid w:val="00a10fd9"/>
    <w:pPr>
      <w:keepNext w:val="true"/>
      <w:keepLines/>
      <w:spacing w:before="0" w:after="0"/>
      <w:outlineLvl w:val="8"/>
    </w:pPr>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a10fd9"/>
    <w:rPr>
      <w:rFonts w:ascii="Aptos Display" w:hAnsi="Aptos Display" w:eastAsia="" w:cs="" w:asciiTheme="majorHAnsi" w:cstheme="majorBidi" w:eastAsiaTheme="majorEastAsia" w:hAnsiTheme="majorHAnsi"/>
      <w:sz w:val="56"/>
      <w:szCs w:val="56"/>
    </w:rPr>
  </w:style>
  <w:style w:type="character" w:styleId="SubtitleChar" w:customStyle="1">
    <w:name w:val="Subtitle Char"/>
    <w:basedOn w:val="DefaultParagraphFont"/>
    <w:link w:val="Subtitle"/>
    <w:uiPriority w:val="11"/>
    <w:qFormat/>
    <w:rsid w:val="00a10fd9"/>
    <w:rPr>
      <w:rFonts w:eastAsia="" w:cs="" w:cstheme="majorBidi" w:eastAsiaTheme="majorEastAsia"/>
      <w:color w:themeColor="text1" w:themeTint="a6" w:val="595959"/>
      <w:spacing w:val="15"/>
      <w:sz w:val="28"/>
      <w:szCs w:val="28"/>
    </w:rPr>
  </w:style>
  <w:style w:type="character" w:styleId="Heading1Char" w:customStyle="1">
    <w:name w:val="Heading 1 Char"/>
    <w:basedOn w:val="DefaultParagraphFont"/>
    <w:link w:val="Heading1"/>
    <w:uiPriority w:val="9"/>
    <w:qFormat/>
    <w:rsid w:val="00a10fd9"/>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a10fd9"/>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a10fd9"/>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a10fd9"/>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a10fd9"/>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a10fd9"/>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a10fd9"/>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a10fd9"/>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a10fd9"/>
    <w:rPr>
      <w:rFonts w:eastAsia="" w:cs="" w:cstheme="majorBidi" w:eastAsiaTheme="majorEastAsia"/>
      <w:color w:themeColor="text1" w:themeTint="d8" w:val="272727"/>
    </w:rPr>
  </w:style>
  <w:style w:type="character" w:styleId="DefaultParagraphFont" w:default="1">
    <w:name w:val="Default Paragraph Font"/>
    <w:semiHidden/>
    <w:unhideWhenUsed/>
    <w:qFormat/>
    <w:rPr/>
  </w:style>
  <w:style w:type="character" w:styleId="BodyTextChar" w:customStyle="1">
    <w:name w:val="Body Text Char"/>
    <w:basedOn w:val="DefaultParagraphFont"/>
    <w:qFormat/>
    <w:rPr/>
  </w:style>
  <w:style w:type="character" w:styleId="VerbatimChar" w:customStyle="1">
    <w:name w:val="Verbatim Char"/>
    <w:basedOn w:val="BodyTextChar"/>
    <w:qFormat/>
    <w:rPr>
      <w:rFonts w:ascii="Consolas" w:hAnsi="Consolas"/>
      <w:sz w:val="22"/>
    </w:rPr>
  </w:style>
  <w:style w:type="character" w:styleId="SectionNumber" w:customStyle="1">
    <w:name w:val="Section Number"/>
    <w:basedOn w:val="BodyTextChar"/>
    <w:qFormat/>
    <w:rPr/>
  </w:style>
  <w:style w:type="character" w:styleId="FootnoteCharactersuser">
    <w:name w:val="Footnote Characters (user)"/>
    <w:qFormat/>
    <w:rPr>
      <w:vertAlign w:val="superscript"/>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Hyperlink">
    <w:name w:val="Hyperlink"/>
    <w:basedOn w:val="BodyTextChar"/>
    <w:rPr>
      <w:color w:themeColor="accent1" w:val="4F81BD"/>
    </w:rPr>
  </w:style>
  <w:style w:type="character" w:styleId="EndnoteCharacters">
    <w:name w:val="Endnote Characters"/>
    <w:qFormat/>
    <w:rPr>
      <w:vertAlign w:val="superscript"/>
    </w:rPr>
  </w:style>
  <w:style w:type="character" w:styleId="EndnoteCharactersuser">
    <w:name w:val="Endnote Characters (user)"/>
    <w:qFormat/>
    <w:rPr>
      <w:vertAlign w:val="superscript"/>
    </w:rPr>
  </w:style>
  <w:style w:type="character" w:styleId="EndnoteReference">
    <w:name w:val="endnote reference"/>
    <w:rPr>
      <w:vertAlign w:val="superscript"/>
    </w:rPr>
  </w:style>
  <w:style w:type="character" w:styleId="FollowedHyperlink">
    <w:name w:val="FollowedHyperlink"/>
    <w:basedOn w:val="DefaultParagraphFont"/>
    <w:rPr>
      <w:color w:themeColor="followedHyperlink" w:val="800080"/>
      <w:u w:val="single"/>
    </w:rPr>
  </w:style>
  <w:style w:type="character" w:styleId="NumberingSymbols">
    <w:name w:val="Numbering Symbols"/>
    <w:qFormat/>
    <w:rPr/>
  </w:style>
  <w:style w:type="character" w:styleId="KeywordTok" w:customStyle="1">
    <w:name w:val="KeywordTok"/>
    <w:basedOn w:val="VerbatimChar"/>
    <w:qFormat/>
    <w:rPr>
      <w:b/>
      <w:color w:val="007020"/>
    </w:rPr>
  </w:style>
  <w:style w:type="character" w:styleId="DataTypeTok" w:customStyle="1">
    <w:name w:val="DataTypeTok"/>
    <w:basedOn w:val="VerbatimChar"/>
    <w:qFormat/>
    <w:rPr>
      <w:color w:val="902000"/>
    </w:rPr>
  </w:style>
  <w:style w:type="character" w:styleId="DecValTok" w:customStyle="1">
    <w:name w:val="DecValTok"/>
    <w:basedOn w:val="VerbatimChar"/>
    <w:qFormat/>
    <w:rPr>
      <w:color w:val="40A070"/>
    </w:rPr>
  </w:style>
  <w:style w:type="character" w:styleId="BaseNTok" w:customStyle="1">
    <w:name w:val="BaseNTok"/>
    <w:basedOn w:val="VerbatimChar"/>
    <w:qFormat/>
    <w:rPr>
      <w:color w:val="40A070"/>
    </w:rPr>
  </w:style>
  <w:style w:type="character" w:styleId="FloatTok" w:customStyle="1">
    <w:name w:val="FloatTok"/>
    <w:basedOn w:val="VerbatimChar"/>
    <w:qFormat/>
    <w:rPr>
      <w:color w:val="40A070"/>
    </w:rPr>
  </w:style>
  <w:style w:type="character" w:styleId="ConstantTok" w:customStyle="1">
    <w:name w:val="ConstantTok"/>
    <w:basedOn w:val="VerbatimChar"/>
    <w:qFormat/>
    <w:rPr>
      <w:color w:val="880000"/>
    </w:rPr>
  </w:style>
  <w:style w:type="character" w:styleId="CharTok" w:customStyle="1">
    <w:name w:val="CharTok"/>
    <w:basedOn w:val="VerbatimChar"/>
    <w:qFormat/>
    <w:rPr>
      <w:color w:val="4070A0"/>
    </w:rPr>
  </w:style>
  <w:style w:type="character" w:styleId="SpecialCharTok" w:customStyle="1">
    <w:name w:val="SpecialCharTok"/>
    <w:basedOn w:val="VerbatimChar"/>
    <w:qFormat/>
    <w:rPr>
      <w:color w:val="4070A0"/>
    </w:rPr>
  </w:style>
  <w:style w:type="character" w:styleId="StringTok" w:customStyle="1">
    <w:name w:val="StringTok"/>
    <w:basedOn w:val="VerbatimChar"/>
    <w:qFormat/>
    <w:rPr>
      <w:color w:val="4070A0"/>
    </w:rPr>
  </w:style>
  <w:style w:type="character" w:styleId="VerbatimStringTok" w:customStyle="1">
    <w:name w:val="VerbatimStringTok"/>
    <w:basedOn w:val="VerbatimChar"/>
    <w:qFormat/>
    <w:rPr>
      <w:color w:val="4070A0"/>
    </w:rPr>
  </w:style>
  <w:style w:type="character" w:styleId="SpecialStringTok" w:customStyle="1">
    <w:name w:val="SpecialStringTok"/>
    <w:basedOn w:val="VerbatimChar"/>
    <w:qFormat/>
    <w:rPr>
      <w:color w:val="BB6688"/>
    </w:rPr>
  </w:style>
  <w:style w:type="character" w:styleId="ImportTok" w:customStyle="1">
    <w:name w:val="ImportTok"/>
    <w:basedOn w:val="VerbatimChar"/>
    <w:qFormat/>
    <w:rPr>
      <w:b/>
      <w:color w:val="008000"/>
    </w:rPr>
  </w:style>
  <w:style w:type="character" w:styleId="CommentTok" w:customStyle="1">
    <w:name w:val="CommentTok"/>
    <w:basedOn w:val="VerbatimChar"/>
    <w:qFormat/>
    <w:rPr>
      <w:i/>
      <w:color w:val="60A0B0"/>
    </w:rPr>
  </w:style>
  <w:style w:type="character" w:styleId="DocumentationTok" w:customStyle="1">
    <w:name w:val="DocumentationTok"/>
    <w:basedOn w:val="VerbatimChar"/>
    <w:qFormat/>
    <w:rPr>
      <w:i/>
      <w:color w:val="BA2121"/>
    </w:rPr>
  </w:style>
  <w:style w:type="character" w:styleId="AnnotationTok" w:customStyle="1">
    <w:name w:val="AnnotationTok"/>
    <w:basedOn w:val="VerbatimChar"/>
    <w:qFormat/>
    <w:rPr>
      <w:b/>
      <w:i/>
      <w:color w:val="60A0B0"/>
    </w:rPr>
  </w:style>
  <w:style w:type="character" w:styleId="CommentVarTok" w:customStyle="1">
    <w:name w:val="CommentVarTok"/>
    <w:basedOn w:val="VerbatimChar"/>
    <w:qFormat/>
    <w:rPr>
      <w:b/>
      <w:i/>
      <w:color w:val="60A0B0"/>
    </w:rPr>
  </w:style>
  <w:style w:type="character" w:styleId="OtherTok" w:customStyle="1">
    <w:name w:val="OtherTok"/>
    <w:basedOn w:val="VerbatimChar"/>
    <w:qFormat/>
    <w:rPr>
      <w:color w:val="007020"/>
    </w:rPr>
  </w:style>
  <w:style w:type="character" w:styleId="FunctionTok" w:customStyle="1">
    <w:name w:val="FunctionTok"/>
    <w:basedOn w:val="VerbatimChar"/>
    <w:qFormat/>
    <w:rPr>
      <w:color w:val="06287E"/>
    </w:rPr>
  </w:style>
  <w:style w:type="character" w:styleId="VariableTok" w:customStyle="1">
    <w:name w:val="VariableTok"/>
    <w:basedOn w:val="VerbatimChar"/>
    <w:qFormat/>
    <w:rPr>
      <w:color w:val="19177C"/>
    </w:rPr>
  </w:style>
  <w:style w:type="character" w:styleId="ControlFlowTok" w:customStyle="1">
    <w:name w:val="ControlFlowTok"/>
    <w:basedOn w:val="VerbatimChar"/>
    <w:qFormat/>
    <w:rPr>
      <w:b/>
      <w:color w:val="007020"/>
    </w:rPr>
  </w:style>
  <w:style w:type="character" w:styleId="OperatorTok" w:customStyle="1">
    <w:name w:val="OperatorTok"/>
    <w:basedOn w:val="VerbatimChar"/>
    <w:qFormat/>
    <w:rPr>
      <w:color w:val="666666"/>
    </w:rPr>
  </w:style>
  <w:style w:type="character" w:styleId="BuiltInTok" w:customStyle="1">
    <w:name w:val="BuiltInTok"/>
    <w:basedOn w:val="VerbatimChar"/>
    <w:qFormat/>
    <w:rPr>
      <w:color w:val="008000"/>
    </w:rPr>
  </w:style>
  <w:style w:type="character" w:styleId="ExtensionTok" w:customStyle="1">
    <w:name w:val="ExtensionTok"/>
    <w:basedOn w:val="VerbatimChar"/>
    <w:qFormat/>
    <w:rPr/>
  </w:style>
  <w:style w:type="character" w:styleId="PreprocessorTok" w:customStyle="1">
    <w:name w:val="PreprocessorTok"/>
    <w:basedOn w:val="VerbatimChar"/>
    <w:qFormat/>
    <w:rPr>
      <w:color w:val="BC7A00"/>
    </w:rPr>
  </w:style>
  <w:style w:type="character" w:styleId="AttributeTok" w:customStyle="1">
    <w:name w:val="AttributeTok"/>
    <w:basedOn w:val="VerbatimChar"/>
    <w:qFormat/>
    <w:rPr>
      <w:color w:val="7D9029"/>
    </w:rPr>
  </w:style>
  <w:style w:type="character" w:styleId="RegionMarkerTok" w:customStyle="1">
    <w:name w:val="RegionMarkerTok"/>
    <w:basedOn w:val="VerbatimChar"/>
    <w:qFormat/>
    <w:rPr/>
  </w:style>
  <w:style w:type="character" w:styleId="InformationTok" w:customStyle="1">
    <w:name w:val="InformationTok"/>
    <w:basedOn w:val="VerbatimChar"/>
    <w:qFormat/>
    <w:rPr>
      <w:b/>
      <w:i/>
      <w:color w:val="60A0B0"/>
    </w:rPr>
  </w:style>
  <w:style w:type="character" w:styleId="WarningTok" w:customStyle="1">
    <w:name w:val="WarningTok"/>
    <w:basedOn w:val="VerbatimChar"/>
    <w:qFormat/>
    <w:rPr>
      <w:b/>
      <w:i/>
      <w:color w:val="60A0B0"/>
    </w:rPr>
  </w:style>
  <w:style w:type="character" w:styleId="AlertTok" w:customStyle="1">
    <w:name w:val="AlertTok"/>
    <w:basedOn w:val="VerbatimChar"/>
    <w:qFormat/>
    <w:rPr>
      <w:b/>
      <w:color w:val="FF0000"/>
    </w:rPr>
  </w:style>
  <w:style w:type="character" w:styleId="ErrorTok" w:customStyle="1">
    <w:name w:val="ErrorTok"/>
    <w:basedOn w:val="VerbatimChar"/>
    <w:qFormat/>
    <w:rPr>
      <w:b/>
      <w:color w:val="FF0000"/>
    </w:rPr>
  </w:style>
  <w:style w:type="character" w:styleId="NormalTok" w:customStyle="1">
    <w:name w:val="NormalTok"/>
    <w:basedOn w:val="VerbatimChar"/>
    <w:qFormat/>
    <w:rPr/>
  </w:style>
  <w:style w:type="paragraph" w:styleId="Heading">
    <w:name w:val="Heading"/>
    <w:basedOn w:val="Normal"/>
    <w:next w:val="BodyText"/>
    <w:qFormat/>
    <w:pPr>
      <w:keepNext w:val="true"/>
      <w:spacing w:before="240" w:after="120"/>
    </w:pPr>
    <w:rPr>
      <w:rFonts w:ascii="Liberation Sans" w:hAnsi="Liberation Sans" w:eastAsia="Noto Sans" w:cs="Roboto"/>
      <w:sz w:val="28"/>
      <w:szCs w:val="28"/>
    </w:rPr>
  </w:style>
  <w:style w:type="paragraph" w:styleId="BodyText">
    <w:name w:val="Body Text"/>
    <w:basedOn w:val="Normal"/>
    <w:link w:val="BodyTextChar"/>
    <w:qFormat/>
    <w:pPr>
      <w:spacing w:before="74" w:after="85"/>
    </w:pPr>
    <w:rPr>
      <w:rFonts w:ascii="Noto Sans" w:hAnsi="Noto Sans"/>
      <w:sz w:val="16"/>
      <w:lang w:val="ro-RO"/>
    </w:rPr>
  </w:style>
  <w:style w:type="paragraph" w:styleId="List">
    <w:name w:val="List"/>
    <w:basedOn w:val="BodyText"/>
    <w:pPr/>
    <w:rPr>
      <w:rFonts w:ascii="Arial" w:hAnsi="Arial" w:cs="Roboto"/>
    </w:rPr>
  </w:style>
  <w:style w:type="paragraph" w:styleId="Caption">
    <w:name w:val="caption"/>
    <w:basedOn w:val="Normal"/>
    <w:link w:val="BodyTextChar"/>
    <w:qFormat/>
    <w:pPr>
      <w:spacing w:before="0" w:after="120"/>
    </w:pPr>
    <w:rPr>
      <w:i/>
    </w:rPr>
  </w:style>
  <w:style w:type="paragraph" w:styleId="Index">
    <w:name w:val="Index"/>
    <w:basedOn w:val="Normal"/>
    <w:qFormat/>
    <w:pPr>
      <w:suppressLineNumbers/>
    </w:pPr>
    <w:rPr>
      <w:rFonts w:ascii="Calibri" w:hAnsi="Calibri" w:cs="Roboto"/>
    </w:rPr>
  </w:style>
  <w:style w:type="paragraph" w:styleId="FirstParagraph" w:customStyle="1">
    <w:name w:val="First Paragraph"/>
    <w:basedOn w:val="BodyText"/>
    <w:next w:val="BodyText"/>
    <w:qFormat/>
    <w:pPr>
      <w:spacing w:before="85" w:after="113"/>
    </w:pPr>
    <w:rPr>
      <w:rFonts w:ascii="Noto Sans" w:hAnsi="Noto Sans"/>
      <w:b w:val="false"/>
      <w:i w:val="false"/>
      <w:sz w:val="18"/>
      <w:lang w:val="ro-RO"/>
    </w:rPr>
  </w:style>
  <w:style w:type="paragraph" w:styleId="Compact" w:customStyle="1">
    <w:name w:val="Compact"/>
    <w:basedOn w:val="BodyText"/>
    <w:qFormat/>
    <w:pPr>
      <w:widowControl/>
      <w:suppressAutoHyphens w:val="true"/>
      <w:spacing w:before="0" w:after="0"/>
      <w:jc w:val="left"/>
    </w:pPr>
    <w:rPr>
      <w:rFonts w:ascii="Noto Sans" w:hAnsi="Noto Sans" w:eastAsia="" w:cs=""/>
      <w:kern w:val="0"/>
      <w:sz w:val="20"/>
      <w:szCs w:val="24"/>
      <w:lang w:val="ro-RO" w:eastAsia="zh-CN" w:bidi="ar-SA"/>
    </w:rPr>
  </w:style>
  <w:style w:type="paragraph" w:styleId="Title">
    <w:name w:val="Title"/>
    <w:basedOn w:val="Normal"/>
    <w:next w:val="BodyText"/>
    <w:link w:val="TitleChar"/>
    <w:uiPriority w:val="10"/>
    <w:qFormat/>
    <w:rsid w:val="00a10fd9"/>
    <w:pPr>
      <w:spacing w:lineRule="auto" w:line="240" w:before="0" w:after="80"/>
      <w:contextualSpacing/>
      <w:jc w:val="center"/>
    </w:pPr>
    <w:rPr>
      <w:rFonts w:ascii="Aptos Display" w:hAnsi="Aptos Display" w:eastAsia="" w:cs="" w:asciiTheme="majorHAnsi" w:cstheme="majorBidi" w:eastAsiaTheme="majorEastAsia" w:hAnsiTheme="majorHAnsi"/>
      <w:sz w:val="56"/>
      <w:szCs w:val="56"/>
    </w:rPr>
  </w:style>
  <w:style w:type="paragraph" w:styleId="Subtitle">
    <w:name w:val="Subtitle"/>
    <w:basedOn w:val="Title"/>
    <w:next w:val="BodyText"/>
    <w:link w:val="SubtitleChar"/>
    <w:uiPriority w:val="11"/>
    <w:qFormat/>
    <w:rsid w:val="00a10fd9"/>
    <w:pPr/>
    <w:rPr>
      <w:rFonts w:eastAsia="" w:cs="" w:cstheme="majorBidi" w:eastAsiaTheme="majorEastAsia"/>
      <w:spacing w:val="15"/>
      <w:sz w:val="28"/>
      <w:szCs w:val="28"/>
    </w:rPr>
  </w:style>
  <w:style w:type="paragraph" w:styleId="Author" w:customStyle="1">
    <w:name w:val="Author"/>
    <w:basedOn w:val="Title"/>
    <w:next w:val="BodyText"/>
    <w:qFormat/>
    <w:pPr>
      <w:keepNext w:val="true"/>
      <w:keepLines/>
    </w:pPr>
    <w:rPr>
      <w:sz w:val="24"/>
      <w:szCs w:val="24"/>
    </w:rPr>
  </w:style>
  <w:style w:type="paragraph" w:styleId="Date">
    <w:name w:val="Date"/>
    <w:basedOn w:val="Title"/>
    <w:next w:val="BodyText"/>
    <w:qFormat/>
    <w:pPr>
      <w:keepNext w:val="true"/>
      <w:keepLines/>
    </w:pPr>
    <w:rPr>
      <w:sz w:val="24"/>
      <w:szCs w:val="24"/>
    </w:rPr>
  </w:style>
  <w:style w:type="paragraph" w:styleId="AbstractTitle" w:customStyle="1">
    <w:name w:val="Abstract Title"/>
    <w:basedOn w:val="Normal"/>
    <w:next w:val="Abstract"/>
    <w:qFormat/>
    <w:pPr>
      <w:keepNext w:val="true"/>
      <w:keepLines/>
      <w:spacing w:before="300" w:after="0"/>
      <w:jc w:val="center"/>
    </w:pPr>
    <w:rPr>
      <w:b/>
      <w:sz w:val="20"/>
      <w:szCs w:val="20"/>
    </w:rPr>
  </w:style>
  <w:style w:type="paragraph" w:styleId="Abstract" w:customStyle="1">
    <w:name w:val="Abstract"/>
    <w:basedOn w:val="Normal"/>
    <w:next w:val="BodyText"/>
    <w:qFormat/>
    <w:pPr>
      <w:keepNext w:val="true"/>
      <w:keepLines/>
      <w:spacing w:before="100" w:after="300"/>
    </w:pPr>
    <w:rPr>
      <w:sz w:val="20"/>
      <w:szCs w:val="20"/>
    </w:rPr>
  </w:style>
  <w:style w:type="paragraph" w:styleId="Bibliography">
    <w:name w:val="Bibliography"/>
    <w:basedOn w:val="Normal"/>
    <w:qFormat/>
    <w:pPr/>
    <w:rPr/>
  </w:style>
  <w:style w:type="paragraph" w:styleId="BlockText">
    <w:name w:val="Block Text"/>
    <w:basedOn w:val="BodyText"/>
    <w:next w:val="BodyText"/>
    <w:uiPriority w:val="9"/>
    <w:unhideWhenUsed/>
    <w:qFormat/>
    <w:pPr>
      <w:spacing w:before="100" w:after="100"/>
      <w:ind w:hanging="0" w:left="480" w:right="480"/>
    </w:pPr>
    <w:rPr/>
  </w:style>
  <w:style w:type="paragraph" w:styleId="FootnoteText">
    <w:name w:val="footnote text"/>
    <w:basedOn w:val="Normal"/>
    <w:uiPriority w:val="9"/>
    <w:unhideWhenUsed/>
    <w:qFormat/>
    <w:pPr/>
    <w:rPr>
      <w:sz w:val="16"/>
    </w:rPr>
  </w:style>
  <w:style w:type="paragraph" w:styleId="FootnoteBlockText">
    <w:name w:val="Footnote Block Text"/>
    <w:basedOn w:val="FootnoteText"/>
    <w:next w:val="FootnoteText"/>
    <w:uiPriority w:val="9"/>
    <w:unhideWhenUsed/>
    <w:qFormat/>
    <w:pPr>
      <w:spacing w:before="100" w:after="100"/>
      <w:ind w:hanging="0" w:left="480" w:right="480"/>
    </w:pPr>
    <w:rPr/>
  </w:style>
  <w:style w:type="paragraph" w:styleId="DefinitionTerm" w:customStyle="1">
    <w:name w:val="Definition Term"/>
    <w:basedOn w:val="Normal"/>
    <w:next w:val="Definition"/>
    <w:qFormat/>
    <w:pPr>
      <w:keepNext w:val="true"/>
      <w:keepLines/>
      <w:spacing w:before="0" w:after="0"/>
    </w:pPr>
    <w:rPr>
      <w:b/>
      <w:sz w:val="20"/>
    </w:rPr>
  </w:style>
  <w:style w:type="paragraph" w:styleId="Definition" w:customStyle="1">
    <w:name w:val="Definition"/>
    <w:basedOn w:val="Normal"/>
    <w:qFormat/>
    <w:pPr/>
    <w:rPr>
      <w:sz w:val="18"/>
    </w:rPr>
  </w:style>
  <w:style w:type="paragraph" w:styleId="TableCaption" w:customStyle="1">
    <w:name w:val="Table Caption"/>
    <w:basedOn w:val="Caption"/>
    <w:qFormat/>
    <w:pPr>
      <w:keepNext w:val="true"/>
      <w:spacing w:before="0" w:after="0"/>
    </w:pPr>
    <w:rPr>
      <w:rFonts w:ascii="Noto Sans" w:hAnsi="Noto Sans"/>
      <w:i w:val="false"/>
      <w:iCs w:val="false"/>
      <w:sz w:val="18"/>
      <w:szCs w:val="21"/>
    </w:rPr>
  </w:style>
  <w:style w:type="paragraph" w:styleId="ImageCaption" w:customStyle="1">
    <w:name w:val="Image Caption"/>
    <w:basedOn w:val="Caption"/>
    <w:qFormat/>
    <w:pPr/>
    <w:rPr>
      <w:sz w:val="18"/>
    </w:rPr>
  </w:style>
  <w:style w:type="paragraph" w:styleId="Figure" w:customStyle="1">
    <w:name w:val="Figure"/>
    <w:basedOn w:val="Normal"/>
    <w:qFormat/>
    <w:pPr/>
    <w:rPr/>
  </w:style>
  <w:style w:type="paragraph" w:styleId="CaptionedFigure" w:customStyle="1">
    <w:name w:val="Captioned Figure"/>
    <w:basedOn w:val="Figure"/>
    <w:qFormat/>
    <w:pPr>
      <w:keepNext w:val="true"/>
    </w:pPr>
    <w:rPr/>
  </w:style>
  <w:style w:type="paragraph" w:styleId="IndexHeading">
    <w:name w:val="index heading"/>
    <w:basedOn w:val="Heading"/>
    <w:pPr/>
    <w:rPr/>
  </w:style>
  <w:style w:type="paragraph" w:styleId="TOCHeading">
    <w:name w:val="TOC Heading"/>
    <w:basedOn w:val="Heading1"/>
    <w:next w:val="BodyText"/>
    <w:uiPriority w:val="39"/>
    <w:unhideWhenUsed/>
    <w:qFormat/>
    <w:pPr>
      <w:spacing w:lineRule="auto" w:line="259" w:before="240" w:after="80"/>
      <w:outlineLvl w:val="9"/>
    </w:pPr>
    <w:rPr>
      <w:rFonts w:ascii="Aptos Display" w:hAnsi="Aptos Display" w:eastAsia="" w:cs="" w:asciiTheme="majorHAnsi" w:cstheme="majorBidi" w:eastAsiaTheme="majorEastAsia" w:hAnsiTheme="majorHAnsi"/>
      <w:b w:val="false"/>
      <w:bCs w:val="false"/>
      <w:color w:themeColor="accent1" w:themeShade="bf" w:val="365F91"/>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HeaderandFooter">
    <w:name w:val="Header and Footer"/>
    <w:basedOn w:val="Normal"/>
    <w:qFormat/>
    <w:pPr>
      <w:suppressLineNumbers/>
      <w:tabs>
        <w:tab w:val="clear" w:pos="720"/>
        <w:tab w:val="center" w:pos="4513" w:leader="none"/>
        <w:tab w:val="right" w:pos="9026" w:leader="none"/>
      </w:tabs>
    </w:pPr>
    <w:rPr/>
  </w:style>
  <w:style w:type="paragraph" w:styleId="Footer">
    <w:name w:val="footer"/>
    <w:basedOn w:val="HeaderandFooter"/>
    <w:pPr>
      <w:suppressLineNumbers/>
      <w:spacing w:before="0" w:after="0"/>
      <w:jc w:val="right"/>
    </w:pPr>
    <w:rPr>
      <w:rFonts w:ascii="Noto Sans" w:hAnsi="Noto Sans"/>
    </w:rPr>
  </w:style>
  <w:style w:type="paragraph" w:styleId="Header">
    <w:name w:val="header"/>
    <w:basedOn w:val="HeaderandFooter"/>
    <w:pPr>
      <w:suppressLineNumbers/>
    </w:pPr>
    <w:rPr/>
  </w:style>
  <w:style w:type="paragraph" w:styleId="SourceCode" w:customStyle="1">
    <w:name w:val="Source Code"/>
    <w:basedOn w:val="Normal"/>
    <w:link w:val="VerbatimChar"/>
    <w:qFormat/>
    <w:pPr/>
    <w:rPr/>
  </w:style>
  <w:style w:type="table" w:default="1" w:styleId="Table">
    <w:name w:val="Table"/>
    <w:basedOn w:val="TableNormal"/>
    <w:semiHidden/>
    <w:unhideWhenUsed/>
    <w:qFormat/>
    <w:tblPr>
      <w:tblCellMar>
        <w:top w:w="0" w:type="dxa"/>
        <w:left w:w="108" w:type="dxa"/>
        <w:bottom w:w="0" w:type="dxa"/>
        <w:right w:w="108" w:type="dxa"/>
      </w:tblCellMar>
    </w:tblPr>
    <w:tblStylePr w:type="firstRow">
      <w:tblPr/>
      <w:tcPr>
        <w:tcBorders>
          <w:bottom w:val="single"/>
        </w:tcBorders>
        <w:vAlign w:val="bottom"/>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85</TotalTime>
  <Application>LibreOffice/26.2.5.2$Linux_X86_64 LibreOffice_project/620$Build-2</Application>
  <AppVersion>15.0000</AppVersion>
  <Pages>9</Pages>
  <Words>3627</Words>
  <Characters>20847</Characters>
  <CharactersWithSpaces>24169</CharactersWithSpaces>
  <Paragraphs>313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2026-09-21T17:53:50Z</dcterms:created>
  <dc:creator/>
  <dc:description/>
  <dc:language>ro-RO</dc:language>
  <cp:lastModifiedBy/>
  <dcterms:modified xsi:type="dcterms:W3CDTF">2026-09-21T20:54:17Z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