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keepNext w:val="true"/>
        <w:keepLines/>
        <w:spacing w:before="160" w:after="80"/>
        <w:rPr/>
      </w:pPr>
      <w:bookmarkStart w:id="0" w:name="Xabb29ae5e3db3074a55a5c84bb10074b981ac2c"/>
      <w:r>
        <w:rPr/>
        <w:t>Formularul nr. 7 — Anexa la formularul de ofertă</w:t>
      </w:r>
    </w:p>
    <w:p>
      <w:pPr>
        <w:pStyle w:val="FirstParagraph"/>
        <w:rPr/>
      </w:pPr>
      <w:r>
        <w:rPr>
          <w:b/>
          <w:bCs/>
        </w:rPr>
        <w:t>Defalcare pe capitole de deviz</w:t>
      </w:r>
    </w:p>
    <w:tbl>
      <w:tblPr>
        <w:tblStyle w:val="Table"/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HBand="0" w:noVBand="0" w:firstColumn="0" w:lastRow="0" w:lastColumn="0" w:firstRow="1" w:val="0020"/>
      </w:tblPr>
      <w:tblGrid>
        <w:gridCol w:w="904"/>
        <w:gridCol w:w="7088"/>
        <w:gridCol w:w="943"/>
      </w:tblGrid>
      <w:tr>
        <w:trPr>
          <w:tblHeader w:val="true"/>
        </w:trPr>
        <w:tc>
          <w:tcPr>
            <w:tcW w:w="904" w:type="dxa"/>
            <w:tcBorders>
              <w:bottom w:val="single" w:sz="6" w:space="0" w:color="000000"/>
            </w:tcBorders>
            <w:vAlign w:val="bottom"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Nr.</w:t>
            </w:r>
          </w:p>
        </w:tc>
        <w:tc>
          <w:tcPr>
            <w:tcW w:w="7088" w:type="dxa"/>
            <w:tcBorders>
              <w:bottom w:val="single" w:sz="6" w:space="0" w:color="000000"/>
            </w:tcBorders>
            <w:vAlign w:val="bottom"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Denumirea capitolelor și subcapitolelor de cheltuieli din Devizul General</w:t>
            </w:r>
          </w:p>
        </w:tc>
        <w:tc>
          <w:tcPr>
            <w:tcW w:w="943" w:type="dxa"/>
            <w:tcBorders>
              <w:bottom w:val="single" w:sz="6" w:space="0" w:color="000000"/>
            </w:tcBorders>
            <w:vAlign w:val="bottom"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Valoare (lei fără TVA)</w:t>
            </w:r>
          </w:p>
        </w:tc>
      </w:tr>
      <w:tr>
        <w:trPr/>
        <w:tc>
          <w:tcPr>
            <w:tcW w:w="904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7088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Amenajarea terenului (1.2)</w:t>
            </w:r>
          </w:p>
        </w:tc>
        <w:tc>
          <w:tcPr>
            <w:tcW w:w="943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904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7088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Amenajări pentru protecția mediului și aducerea la starea inițială (1.3)</w:t>
            </w:r>
          </w:p>
        </w:tc>
        <w:tc>
          <w:tcPr>
            <w:tcW w:w="943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904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3a</w:t>
            </w:r>
          </w:p>
        </w:tc>
        <w:tc>
          <w:tcPr>
            <w:tcW w:w="7088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 xml:space="preserve">Asigurarea utilităților — </w:t>
            </w:r>
            <w:r>
              <w:rPr>
                <w:rFonts w:eastAsia="" w:cs=""/>
                <w:b/>
                <w:bCs/>
                <w:kern w:val="0"/>
                <w:sz w:val="24"/>
                <w:szCs w:val="24"/>
                <w:lang w:val="en-US" w:eastAsia="zh-CN" w:bidi="ar-SA"/>
              </w:rPr>
              <w:t>branșament / racordare la instalația de racordare</w:t>
            </w: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: celula MT în PTAB CEF 0,8/20 kV, 2.000 kVA, LES 20 kV PTAB CEF 0,8/20 kV, 2.000 kVA ↔ PTAB 2 – IS (2)</w:t>
            </w:r>
          </w:p>
        </w:tc>
        <w:tc>
          <w:tcPr>
            <w:tcW w:w="943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904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3b</w:t>
            </w:r>
          </w:p>
        </w:tc>
        <w:tc>
          <w:tcPr>
            <w:tcW w:w="7088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Asigurarea utilităților — alte (2)</w:t>
            </w:r>
          </w:p>
        </w:tc>
        <w:tc>
          <w:tcPr>
            <w:tcW w:w="943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904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4a</w:t>
            </w:r>
          </w:p>
        </w:tc>
        <w:tc>
          <w:tcPr>
            <w:tcW w:w="7088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b/>
                <w:bCs/>
                <w:kern w:val="0"/>
                <w:sz w:val="24"/>
                <w:szCs w:val="24"/>
                <w:lang w:val="en-US" w:eastAsia="zh-CN" w:bidi="ar-SA"/>
              </w:rPr>
              <w:t>Documentații pentru obținerea avizelor/acordurilor/autorizațiilor</w:t>
            </w: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 xml:space="preserve"> (3.5.4)</w:t>
            </w:r>
          </w:p>
        </w:tc>
        <w:tc>
          <w:tcPr>
            <w:tcW w:w="943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904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4b</w:t>
            </w:r>
          </w:p>
        </w:tc>
        <w:tc>
          <w:tcPr>
            <w:tcW w:w="7088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DTAC cu memoriile pe specialități (3.5.4)</w:t>
            </w:r>
          </w:p>
        </w:tc>
        <w:tc>
          <w:tcPr>
            <w:tcW w:w="943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904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7088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Verificarea tehnică de calitate a proiectului tehnic și a detaliilor de execuție (3.5.5)</w:t>
            </w:r>
          </w:p>
        </w:tc>
        <w:tc>
          <w:tcPr>
            <w:tcW w:w="943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904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7088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Proiect tehnic și detalii de execuție PT+DDE (3.5.6)</w:t>
            </w:r>
          </w:p>
        </w:tc>
        <w:tc>
          <w:tcPr>
            <w:tcW w:w="943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904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7088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Asistență tehnică din partea proiectantului (3.8.1)</w:t>
            </w:r>
          </w:p>
        </w:tc>
        <w:tc>
          <w:tcPr>
            <w:tcW w:w="943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904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7088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Construcții și instalații (4.1)</w:t>
            </w:r>
          </w:p>
        </w:tc>
        <w:tc>
          <w:tcPr>
            <w:tcW w:w="943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904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9</w:t>
            </w:r>
          </w:p>
        </w:tc>
        <w:tc>
          <w:tcPr>
            <w:tcW w:w="7088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Montaj utilaje, echipamente tehnologice și funcționale (4.2)</w:t>
            </w:r>
          </w:p>
        </w:tc>
        <w:tc>
          <w:tcPr>
            <w:tcW w:w="943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904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7088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Utilaje, echipamente tehnologice și funcționale care necesită montaj (4.3)</w:t>
            </w:r>
          </w:p>
        </w:tc>
        <w:tc>
          <w:tcPr>
            <w:tcW w:w="943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904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11</w:t>
            </w:r>
          </w:p>
        </w:tc>
        <w:tc>
          <w:tcPr>
            <w:tcW w:w="7088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Dotări (4.5)</w:t>
            </w:r>
          </w:p>
        </w:tc>
        <w:tc>
          <w:tcPr>
            <w:tcW w:w="943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904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7088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Organizare de șantier (5.1)</w:t>
            </w:r>
          </w:p>
        </w:tc>
        <w:tc>
          <w:tcPr>
            <w:tcW w:w="943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904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13</w:t>
            </w:r>
          </w:p>
        </w:tc>
        <w:tc>
          <w:tcPr>
            <w:tcW w:w="7088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Probe tehnologice și teste (6.2)</w:t>
            </w:r>
          </w:p>
        </w:tc>
        <w:tc>
          <w:tcPr>
            <w:tcW w:w="943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904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7088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b/>
                <w:bCs/>
                <w:kern w:val="0"/>
                <w:sz w:val="24"/>
                <w:szCs w:val="24"/>
                <w:lang w:val="en-US" w:eastAsia="zh-CN" w:bidi="ar-SA"/>
              </w:rPr>
              <w:t>TOTAL GENERAL lei fără TVA</w:t>
            </w: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eastAsia="" w:cs=""/>
                <w:i/>
                <w:iCs/>
                <w:kern w:val="0"/>
                <w:sz w:val="24"/>
                <w:szCs w:val="24"/>
                <w:lang w:val="en-US" w:eastAsia="zh-CN" w:bidi="ar-SA"/>
              </w:rPr>
              <w:t>(mărimea punctată la §7.2)</w:t>
            </w:r>
          </w:p>
        </w:tc>
        <w:tc>
          <w:tcPr>
            <w:tcW w:w="943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</w:tbl>
    <w:p>
      <w:pPr>
        <w:pStyle w:val="BodyText"/>
        <w:rPr/>
      </w:pPr>
      <w:r>
        <w:rPr>
          <w:i/>
          <w:iCs/>
        </w:rPr>
        <w:t>Pozițiile 3a și 4a se evidențiază distinct pentru delimitarea cheltuielilor în sensul art. 4 alin. (3) lit. q) și r) din Contractul de finanțare.</w:t>
      </w:r>
    </w:p>
    <w:p>
      <w:pPr>
        <w:pStyle w:val="BodyText"/>
        <w:rPr/>
      </w:pPr>
      <w:r>
        <w:rPr>
          <w:b/>
          <w:bCs/>
        </w:rPr>
        <w:t>Opțiuni cu preț ferm — neincluse în TOTAL GENERAL și nepunctate</w:t>
      </w:r>
    </w:p>
    <w:tbl>
      <w:tblPr>
        <w:tblStyle w:val="Table"/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HBand="0" w:noVBand="0" w:firstColumn="0" w:lastRow="0" w:lastColumn="0" w:firstRow="1" w:val="0020"/>
      </w:tblPr>
      <w:tblGrid>
        <w:gridCol w:w="743"/>
        <w:gridCol w:w="5585"/>
        <w:gridCol w:w="1035"/>
        <w:gridCol w:w="1572"/>
      </w:tblGrid>
      <w:tr>
        <w:trPr>
          <w:tblHeader w:val="true"/>
        </w:trPr>
        <w:tc>
          <w:tcPr>
            <w:tcW w:w="743" w:type="dxa"/>
            <w:tcBorders>
              <w:bottom w:val="single" w:sz="6" w:space="0" w:color="000000"/>
            </w:tcBorders>
            <w:vAlign w:val="bottom"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Nr.</w:t>
            </w:r>
          </w:p>
        </w:tc>
        <w:tc>
          <w:tcPr>
            <w:tcW w:w="5585" w:type="dxa"/>
            <w:tcBorders>
              <w:bottom w:val="single" w:sz="6" w:space="0" w:color="000000"/>
            </w:tcBorders>
            <w:vAlign w:val="bottom"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Poziție</w:t>
            </w:r>
          </w:p>
        </w:tc>
        <w:tc>
          <w:tcPr>
            <w:tcW w:w="1035" w:type="dxa"/>
            <w:tcBorders>
              <w:bottom w:val="single" w:sz="6" w:space="0" w:color="000000"/>
            </w:tcBorders>
            <w:vAlign w:val="bottom"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Valoare (lei fără TVA)</w:t>
            </w:r>
          </w:p>
        </w:tc>
        <w:tc>
          <w:tcPr>
            <w:tcW w:w="1572" w:type="dxa"/>
            <w:tcBorders>
              <w:bottom w:val="single" w:sz="6" w:space="0" w:color="000000"/>
            </w:tcBorders>
            <w:vAlign w:val="bottom"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Valabilitate</w:t>
            </w:r>
          </w:p>
        </w:tc>
      </w:tr>
      <w:tr>
        <w:trPr/>
        <w:tc>
          <w:tcPr>
            <w:tcW w:w="743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14</w:t>
            </w:r>
          </w:p>
        </w:tc>
        <w:tc>
          <w:tcPr>
            <w:tcW w:w="5585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 xml:space="preserve">Augmentare la </w:t>
            </w:r>
            <w:r>
              <w:rPr>
                <w:rFonts w:eastAsia="" w:cs=""/>
                <w:b/>
                <w:bCs/>
                <w:kern w:val="0"/>
                <w:sz w:val="24"/>
                <w:szCs w:val="24"/>
                <w:lang w:val="en-US" w:eastAsia="zh-CN" w:bidi="ar-SA"/>
              </w:rPr>
              <w:t>anul 5</w:t>
            </w: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 xml:space="preserve"> de la PIF, pentru restabilirea capacității la valoarea garantată V1 — module, montaj, punere în funcțiune</w:t>
            </w:r>
          </w:p>
        </w:tc>
        <w:tc>
          <w:tcPr>
            <w:tcW w:w="1035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572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preț ferm, exercitabil de Achizitor</w:t>
            </w:r>
          </w:p>
        </w:tc>
      </w:tr>
      <w:tr>
        <w:trPr/>
        <w:tc>
          <w:tcPr>
            <w:tcW w:w="743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15</w:t>
            </w:r>
          </w:p>
        </w:tc>
        <w:tc>
          <w:tcPr>
            <w:tcW w:w="5585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 xml:space="preserve">Augmentare la </w:t>
            </w:r>
            <w:r>
              <w:rPr>
                <w:rFonts w:eastAsia="" w:cs=""/>
                <w:b/>
                <w:bCs/>
                <w:kern w:val="0"/>
                <w:sz w:val="24"/>
                <w:szCs w:val="24"/>
                <w:lang w:val="en-US" w:eastAsia="zh-CN" w:bidi="ar-SA"/>
              </w:rPr>
              <w:t>anul 10</w:t>
            </w: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 xml:space="preserve"> de la PIF, aceeași sferă</w:t>
            </w:r>
          </w:p>
        </w:tc>
        <w:tc>
          <w:tcPr>
            <w:tcW w:w="1035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572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idem</w:t>
            </w:r>
          </w:p>
        </w:tc>
      </w:tr>
    </w:tbl>
    <w:p>
      <w:pPr>
        <w:pStyle w:val="BodyText"/>
        <w:spacing w:before="180" w:after="180"/>
        <w:rPr/>
      </w:pPr>
      <w:r>
        <w:rPr/>
        <w:t xml:space="preserve">Data completării: ……………… Ofertant, </w:t>
      </w:r>
      <w:r>
        <w:rPr>
          <w:i/>
          <w:iCs/>
        </w:rPr>
        <w:t>(semnătură autorizată)</w:t>
      </w:r>
      <w:bookmarkEnd w:id="0"/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swiss"/>
    <w:pitch w:val="default"/>
  </w:font>
  <w:font w:name="Aptos Display">
    <w:charset w:val="01"/>
    <w:family w:val="swiss"/>
    <w:pitch w:val="default"/>
  </w:font>
  <w:font w:name="Consolas">
    <w:charset w:val="01"/>
    <w:family w:val="swiss"/>
    <w:pitch w:val="default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" w:cs="" w:asciiTheme="minorHAnsi" w:cstheme="minorBidi" w:eastAsiaTheme="minorEastAsia" w:hAnsiTheme="minorHAnsi"/>
        <w:sz w:val="24"/>
        <w:szCs w:val="24"/>
        <w:lang w:val="en-US" w:eastAsia="zh-CN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76"/>
  <w:style w:type="paragraph" w:styleId="Normal" w:default="1">
    <w:name w:val="Normal"/>
    <w:qFormat/>
    <w:pPr>
      <w:widowControl/>
      <w:bidi w:val="0"/>
      <w:spacing w:before="0" w:after="200"/>
      <w:jc w:val="left"/>
    </w:pPr>
    <w:rPr>
      <w:rFonts w:ascii="Aptos" w:hAnsi="Aptos" w:eastAsia="" w:cs="" w:asciiTheme="minorHAnsi" w:cstheme="minorBidi" w:eastAsiaTheme="minorEastAsia" w:hAnsiTheme="minorHAnsi"/>
      <w:color w:val="auto"/>
      <w:kern w:val="0"/>
      <w:sz w:val="24"/>
      <w:szCs w:val="24"/>
      <w:lang w:val="en-US" w:eastAsia="zh-CN" w:bidi="ar-SA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a10fd9"/>
    <w:rPr>
      <w:rFonts w:ascii="Aptos Display" w:hAnsi="Aptos Display" w:eastAsia="" w:cs="" w:asciiTheme="majorHAnsi" w:cstheme="majorBidi" w:eastAsiaTheme="majorEastAsia" w:hAnsiTheme="majorHAnsi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a10fd9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Heading1Char" w:customStyle="1">
    <w:name w:val="Heading 1 Char"/>
    <w:basedOn w:val="DefaultParagraphFont"/>
    <w:link w:val="Heading1"/>
    <w:uiPriority w:val="9"/>
    <w:qFormat/>
    <w:rsid w:val="00a10fd9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a10fd9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a10fd9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a10fd9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a10fd9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a10fd9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a10fd9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a10fd9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a10fd9"/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semiHidden/>
    <w:unhideWhenUsed/>
    <w:qFormat/>
    <w:rPr/>
  </w:style>
  <w:style w:type="character" w:styleId="BodyTextChar" w:customStyle="1">
    <w:name w:val="Body Text Char"/>
    <w:basedOn w:val="DefaultParagraphFont"/>
    <w:qFormat/>
    <w:rPr/>
  </w:style>
  <w:style w:type="character" w:styleId="VerbatimChar" w:customStyle="1">
    <w:name w:val="Verbatim Char"/>
    <w:basedOn w:val="BodyTextChar"/>
    <w:qFormat/>
    <w:rPr>
      <w:rFonts w:ascii="Consolas" w:hAnsi="Consolas"/>
      <w:sz w:val="22"/>
    </w:rPr>
  </w:style>
  <w:style w:type="character" w:styleId="SectionNumber" w:customStyle="1">
    <w:name w:val="Section Number"/>
    <w:basedOn w:val="BodyTextChar"/>
    <w:qFormat/>
    <w:rPr/>
  </w:style>
  <w:style w:type="character" w:styleId="FootnoteCharacters">
    <w:name w:val="Footnote Characters"/>
    <w:basedOn w:val="BodyTextChar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BodyTextChar"/>
    <w:rPr>
      <w:color w:themeColor="accent1" w:val="4F81BD"/>
    </w:rPr>
  </w:style>
  <w:style w:type="character" w:styleId="KeywordTok" w:customStyle="1">
    <w:name w:val="KeywordTok"/>
    <w:basedOn w:val="VerbatimChar"/>
    <w:qFormat/>
    <w:rPr>
      <w:b/>
      <w:color w:val="007020"/>
    </w:rPr>
  </w:style>
  <w:style w:type="character" w:styleId="DataTypeTok" w:customStyle="1">
    <w:name w:val="DataTypeTok"/>
    <w:basedOn w:val="VerbatimChar"/>
    <w:qFormat/>
    <w:rPr>
      <w:color w:val="902000"/>
    </w:rPr>
  </w:style>
  <w:style w:type="character" w:styleId="DecValTok" w:customStyle="1">
    <w:name w:val="DecValTok"/>
    <w:basedOn w:val="VerbatimChar"/>
    <w:qFormat/>
    <w:rPr>
      <w:color w:val="40A070"/>
    </w:rPr>
  </w:style>
  <w:style w:type="character" w:styleId="BaseNTok" w:customStyle="1">
    <w:name w:val="BaseNTok"/>
    <w:basedOn w:val="VerbatimChar"/>
    <w:qFormat/>
    <w:rPr>
      <w:color w:val="40A070"/>
    </w:rPr>
  </w:style>
  <w:style w:type="character" w:styleId="FloatTok" w:customStyle="1">
    <w:name w:val="FloatTok"/>
    <w:basedOn w:val="VerbatimChar"/>
    <w:qFormat/>
    <w:rPr>
      <w:color w:val="40A070"/>
    </w:rPr>
  </w:style>
  <w:style w:type="character" w:styleId="ConstantTok" w:customStyle="1">
    <w:name w:val="ConstantTok"/>
    <w:basedOn w:val="VerbatimChar"/>
    <w:qFormat/>
    <w:rPr>
      <w:color w:val="880000"/>
    </w:rPr>
  </w:style>
  <w:style w:type="character" w:styleId="CharTok" w:customStyle="1">
    <w:name w:val="CharTok"/>
    <w:basedOn w:val="VerbatimChar"/>
    <w:qFormat/>
    <w:rPr>
      <w:color w:val="4070A0"/>
    </w:rPr>
  </w:style>
  <w:style w:type="character" w:styleId="SpecialCharTok" w:customStyle="1">
    <w:name w:val="SpecialCharTok"/>
    <w:basedOn w:val="VerbatimChar"/>
    <w:qFormat/>
    <w:rPr>
      <w:color w:val="4070A0"/>
    </w:rPr>
  </w:style>
  <w:style w:type="character" w:styleId="StringTok" w:customStyle="1">
    <w:name w:val="StringTok"/>
    <w:basedOn w:val="VerbatimChar"/>
    <w:qFormat/>
    <w:rPr>
      <w:color w:val="4070A0"/>
    </w:rPr>
  </w:style>
  <w:style w:type="character" w:styleId="VerbatimStringTok" w:customStyle="1">
    <w:name w:val="VerbatimStringTok"/>
    <w:basedOn w:val="VerbatimChar"/>
    <w:qFormat/>
    <w:rPr>
      <w:color w:val="4070A0"/>
    </w:rPr>
  </w:style>
  <w:style w:type="character" w:styleId="SpecialStringTok" w:customStyle="1">
    <w:name w:val="SpecialStringTok"/>
    <w:basedOn w:val="VerbatimChar"/>
    <w:qFormat/>
    <w:rPr>
      <w:color w:val="BB6688"/>
    </w:rPr>
  </w:style>
  <w:style w:type="character" w:styleId="ImportTok" w:customStyle="1">
    <w:name w:val="ImportTok"/>
    <w:basedOn w:val="VerbatimChar"/>
    <w:qFormat/>
    <w:rPr>
      <w:b/>
      <w:color w:val="008000"/>
    </w:rPr>
  </w:style>
  <w:style w:type="character" w:styleId="CommentTok" w:customStyle="1">
    <w:name w:val="CommentTok"/>
    <w:basedOn w:val="VerbatimChar"/>
    <w:qFormat/>
    <w:rPr>
      <w:i/>
      <w:color w:val="60A0B0"/>
    </w:rPr>
  </w:style>
  <w:style w:type="character" w:styleId="DocumentationTok" w:customStyle="1">
    <w:name w:val="DocumentationTok"/>
    <w:basedOn w:val="VerbatimChar"/>
    <w:qFormat/>
    <w:rPr>
      <w:i/>
      <w:color w:val="BA2121"/>
    </w:rPr>
  </w:style>
  <w:style w:type="character" w:styleId="AnnotationTok" w:customStyle="1">
    <w:name w:val="AnnotationTok"/>
    <w:basedOn w:val="VerbatimChar"/>
    <w:qFormat/>
    <w:rPr>
      <w:b/>
      <w:i/>
      <w:color w:val="60A0B0"/>
    </w:rPr>
  </w:style>
  <w:style w:type="character" w:styleId="CommentVarTok" w:customStyle="1">
    <w:name w:val="CommentVarTok"/>
    <w:basedOn w:val="VerbatimChar"/>
    <w:qFormat/>
    <w:rPr>
      <w:b/>
      <w:i/>
      <w:color w:val="60A0B0"/>
    </w:rPr>
  </w:style>
  <w:style w:type="character" w:styleId="OtherTok" w:customStyle="1">
    <w:name w:val="OtherTok"/>
    <w:basedOn w:val="VerbatimChar"/>
    <w:qFormat/>
    <w:rPr>
      <w:color w:val="007020"/>
    </w:rPr>
  </w:style>
  <w:style w:type="character" w:styleId="FunctionTok" w:customStyle="1">
    <w:name w:val="FunctionTok"/>
    <w:basedOn w:val="VerbatimChar"/>
    <w:qFormat/>
    <w:rPr>
      <w:color w:val="06287E"/>
    </w:rPr>
  </w:style>
  <w:style w:type="character" w:styleId="VariableTok" w:customStyle="1">
    <w:name w:val="VariableTok"/>
    <w:basedOn w:val="VerbatimChar"/>
    <w:qFormat/>
    <w:rPr>
      <w:color w:val="19177C"/>
    </w:rPr>
  </w:style>
  <w:style w:type="character" w:styleId="ControlFlowTok" w:customStyle="1">
    <w:name w:val="ControlFlowTok"/>
    <w:basedOn w:val="VerbatimChar"/>
    <w:qFormat/>
    <w:rPr>
      <w:b/>
      <w:color w:val="007020"/>
    </w:rPr>
  </w:style>
  <w:style w:type="character" w:styleId="OperatorTok" w:customStyle="1">
    <w:name w:val="OperatorTok"/>
    <w:basedOn w:val="VerbatimChar"/>
    <w:qFormat/>
    <w:rPr>
      <w:color w:val="666666"/>
    </w:rPr>
  </w:style>
  <w:style w:type="character" w:styleId="BuiltInTok" w:customStyle="1">
    <w:name w:val="BuiltInTok"/>
    <w:basedOn w:val="VerbatimChar"/>
    <w:qFormat/>
    <w:rPr>
      <w:color w:val="008000"/>
    </w:rPr>
  </w:style>
  <w:style w:type="character" w:styleId="ExtensionTok" w:customStyle="1">
    <w:name w:val="ExtensionTok"/>
    <w:basedOn w:val="VerbatimChar"/>
    <w:qFormat/>
    <w:rPr/>
  </w:style>
  <w:style w:type="character" w:styleId="PreprocessorTok" w:customStyle="1">
    <w:name w:val="PreprocessorTok"/>
    <w:basedOn w:val="VerbatimChar"/>
    <w:qFormat/>
    <w:rPr>
      <w:color w:val="BC7A00"/>
    </w:rPr>
  </w:style>
  <w:style w:type="character" w:styleId="AttributeTok" w:customStyle="1">
    <w:name w:val="AttributeTok"/>
    <w:basedOn w:val="VerbatimChar"/>
    <w:qFormat/>
    <w:rPr>
      <w:color w:val="7D9029"/>
    </w:rPr>
  </w:style>
  <w:style w:type="character" w:styleId="RegionMarkerTok" w:customStyle="1">
    <w:name w:val="RegionMarkerTok"/>
    <w:basedOn w:val="VerbatimChar"/>
    <w:qFormat/>
    <w:rPr/>
  </w:style>
  <w:style w:type="character" w:styleId="InformationTok" w:customStyle="1">
    <w:name w:val="InformationTok"/>
    <w:basedOn w:val="VerbatimChar"/>
    <w:qFormat/>
    <w:rPr>
      <w:b/>
      <w:i/>
      <w:color w:val="60A0B0"/>
    </w:rPr>
  </w:style>
  <w:style w:type="character" w:styleId="WarningTok" w:customStyle="1">
    <w:name w:val="WarningTok"/>
    <w:basedOn w:val="VerbatimChar"/>
    <w:qFormat/>
    <w:rPr>
      <w:b/>
      <w:i/>
      <w:color w:val="60A0B0"/>
    </w:rPr>
  </w:style>
  <w:style w:type="character" w:styleId="AlertTok" w:customStyle="1">
    <w:name w:val="AlertTok"/>
    <w:basedOn w:val="VerbatimChar"/>
    <w:qFormat/>
    <w:rPr>
      <w:b/>
      <w:color w:val="FF0000"/>
    </w:rPr>
  </w:style>
  <w:style w:type="character" w:styleId="ErrorTok" w:customStyle="1">
    <w:name w:val="ErrorTok"/>
    <w:basedOn w:val="VerbatimChar"/>
    <w:qFormat/>
    <w:rPr>
      <w:b/>
      <w:color w:val="FF0000"/>
    </w:rPr>
  </w:style>
  <w:style w:type="character" w:styleId="NormalTok" w:customStyle="1">
    <w:name w:val="NormalTok"/>
    <w:basedOn w:val="VerbatimChar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Roboto"/>
      <w:sz w:val="28"/>
      <w:szCs w:val="28"/>
    </w:rPr>
  </w:style>
  <w:style w:type="paragraph" w:styleId="BodyText">
    <w:name w:val="Body Text"/>
    <w:basedOn w:val="Normal"/>
    <w:link w:val="BodyTextChar"/>
    <w:qFormat/>
    <w:pPr>
      <w:spacing w:before="180" w:after="180"/>
    </w:pPr>
    <w:rPr/>
  </w:style>
  <w:style w:type="paragraph" w:styleId="List">
    <w:name w:val="List"/>
    <w:basedOn w:val="BodyText"/>
    <w:pPr/>
    <w:rPr>
      <w:rFonts w:ascii="Arial" w:hAnsi="Arial" w:cs="Roboto"/>
    </w:rPr>
  </w:style>
  <w:style w:type="paragraph" w:styleId="Caption">
    <w:name w:val="caption"/>
    <w:basedOn w:val="Normal"/>
    <w:link w:val="BodyTextChar"/>
    <w:qFormat/>
    <w:pPr>
      <w:spacing w:before="0" w:after="120"/>
    </w:pPr>
    <w:rPr>
      <w:i/>
    </w:rPr>
  </w:style>
  <w:style w:type="paragraph" w:styleId="Index">
    <w:name w:val="Index"/>
    <w:basedOn w:val="Normal"/>
    <w:qFormat/>
    <w:pPr>
      <w:suppressLineNumbers/>
    </w:pPr>
    <w:rPr>
      <w:rFonts w:ascii="Calibri" w:hAnsi="Calibri" w:cs="Roboto"/>
    </w:rPr>
  </w:style>
  <w:style w:type="paragraph" w:styleId="FirstParagraph" w:customStyle="1">
    <w:name w:val="First Paragraph"/>
    <w:basedOn w:val="BodyText"/>
    <w:next w:val="BodyText"/>
    <w:qFormat/>
    <w:pPr/>
    <w:rPr/>
  </w:style>
  <w:style w:type="paragraph" w:styleId="Compact" w:customStyle="1">
    <w:name w:val="Compact"/>
    <w:basedOn w:val="BodyText"/>
    <w:qFormat/>
    <w:pPr>
      <w:spacing w:before="36" w:after="36"/>
    </w:pPr>
    <w:rPr/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lineRule="auto" w:line="240" w:before="0" w:after="80"/>
      <w:contextualSpacing/>
      <w:jc w:val="center"/>
    </w:pPr>
    <w:rPr>
      <w:rFonts w:ascii="Aptos Display" w:hAnsi="Aptos Display" w:eastAsia="" w:cs="" w:asciiTheme="majorHAnsi" w:cstheme="majorBidi" w:eastAsiaTheme="majorEastAsia" w:hAnsiTheme="majorHAns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/>
    <w:rPr>
      <w:rFonts w:eastAsia="" w:cs="" w:cstheme="majorBidi" w:eastAsiaTheme="majorEastAsia"/>
      <w:spacing w:val="15"/>
      <w:sz w:val="28"/>
      <w:szCs w:val="28"/>
    </w:rPr>
  </w:style>
  <w:style w:type="paragraph" w:styleId="Author" w:customStyle="1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type="paragraph" w:styleId="AbstractTitle" w:customStyle="1">
    <w:name w:val="Abstract Title"/>
    <w:basedOn w:val="Normal"/>
    <w:next w:val="Abstract"/>
    <w:qFormat/>
    <w:pPr>
      <w:keepNext w:val="true"/>
      <w:keepLines/>
      <w:spacing w:before="300" w:after="0"/>
      <w:jc w:val="center"/>
    </w:pPr>
    <w:rPr>
      <w:b/>
      <w:sz w:val="20"/>
      <w:szCs w:val="20"/>
    </w:rPr>
  </w:style>
  <w:style w:type="paragraph" w:styleId="Abstract" w:customStyle="1">
    <w:name w:val="Abstract"/>
    <w:basedOn w:val="Normal"/>
    <w:next w:val="BodyText"/>
    <w:qFormat/>
    <w:pPr>
      <w:keepNext w:val="true"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  <w:pPr/>
    <w:rPr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hanging="0" w:left="480" w:right="480"/>
    </w:pPr>
    <w:rPr/>
  </w:style>
  <w:style w:type="paragraph" w:styleId="FootnoteText">
    <w:name w:val="footnote text"/>
    <w:basedOn w:val="Normal"/>
    <w:uiPriority w:val="9"/>
    <w:unhideWhenUsed/>
    <w:qFormat/>
    <w:pPr/>
    <w:rPr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hanging="0" w:left="480" w:right="480"/>
    </w:pPr>
    <w:rPr/>
  </w:style>
  <w:style w:type="paragraph" w:styleId="DefinitionTerm" w:customStyle="1">
    <w:name w:val="Definition Term"/>
    <w:basedOn w:val="Normal"/>
    <w:next w:val="Definition"/>
    <w:qFormat/>
    <w:pPr>
      <w:keepNext w:val="true"/>
      <w:keepLines/>
      <w:spacing w:before="0" w:after="0"/>
    </w:pPr>
    <w:rPr>
      <w:b/>
    </w:rPr>
  </w:style>
  <w:style w:type="paragraph" w:styleId="Definition" w:customStyle="1">
    <w:name w:val="Definition"/>
    <w:basedOn w:val="Normal"/>
    <w:qFormat/>
    <w:pPr/>
    <w:rPr/>
  </w:style>
  <w:style w:type="paragraph" w:styleId="TableCaption" w:customStyle="1">
    <w:name w:val="Table Caption"/>
    <w:basedOn w:val="Caption"/>
    <w:qFormat/>
    <w:pPr>
      <w:keepNext w:val="true"/>
    </w:pPr>
    <w:rPr/>
  </w:style>
  <w:style w:type="paragraph" w:styleId="ImageCaption" w:customStyle="1">
    <w:name w:val="Image Caption"/>
    <w:basedOn w:val="Caption"/>
    <w:qFormat/>
    <w:pPr/>
    <w:rPr/>
  </w:style>
  <w:style w:type="paragraph" w:styleId="Figure" w:customStyle="1">
    <w:name w:val="Figure"/>
    <w:basedOn w:val="Normal"/>
    <w:qFormat/>
    <w:pPr/>
    <w:rPr/>
  </w:style>
  <w:style w:type="paragraph" w:styleId="CaptionedFigure" w:customStyle="1">
    <w:name w:val="Captioned Figure"/>
    <w:basedOn w:val="Figure"/>
    <w:qFormat/>
    <w:pPr>
      <w:keepNext w:val="true"/>
    </w:pPr>
    <w:rPr/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BodyText"/>
    <w:uiPriority w:val="39"/>
    <w:unhideWhenUsed/>
    <w:qFormat/>
    <w:pPr>
      <w:spacing w:lineRule="auto" w:line="259" w:before="240" w:after="80"/>
      <w:outlineLvl w:val="9"/>
    </w:pPr>
    <w:rPr>
      <w:rFonts w:ascii="Aptos Display" w:hAnsi="Aptos Display" w:eastAsia="" w:cs="" w:asciiTheme="majorHAnsi" w:cstheme="majorBidi" w:eastAsiaTheme="majorEastAsia" w:hAnsiTheme="majorHAnsi"/>
      <w:b w:val="false"/>
      <w:bCs w:val="false"/>
      <w:color w:themeColor="accent1" w:themeShade="bf" w:val="365F91"/>
    </w:rPr>
  </w:style>
  <w:style w:type="paragraph" w:styleId="SourceCode" w:customStyle="1">
    <w:name w:val="Source Code"/>
    <w:basedOn w:val="Normal"/>
    <w:link w:val="VerbatimChar"/>
    <w:qFormat/>
    <w:pPr/>
    <w:rPr/>
  </w:style>
  <w:style w:type="table" w:default="1" w:styleId="Table">
    <w:name w:val="Table"/>
    <w:basedOn w:val="TableNormal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/>
        </w:tcBorders>
        <w:vAlign w:val="bottom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LibreOffice/26.2.5.2$Linux_X86_64 LibreOffice_project/620$Build-2</Application>
  <AppVersion>15.0000</AppVersion>
  <Pages>2</Pages>
  <Words>252</Words>
  <Characters>1418</Characters>
  <CharactersWithSpaces>1627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2026-09-15T17:20:07Z</dcterms:created>
  <dc:creator/>
  <dc:description/>
  <dc:language>ro-RO</dc:language>
  <cp:lastModifiedBy/>
  <dcterms:modified xsi:type="dcterms:W3CDTF">2026-09-15T20:21:02Z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