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keepNext w:val="true"/>
        <w:keepLines/>
        <w:spacing w:before="160" w:after="80"/>
        <w:rPr/>
      </w:pPr>
      <w:bookmarkStart w:id="0" w:name="X2340c8d13fb594ec2e60c58fee7d0e42021cad9"/>
      <w:r>
        <w:rPr/>
        <w:t>Formularul nr. 14 — Macheta Calendarului de Execuție</w:t>
      </w:r>
    </w:p>
    <w:p>
      <w:pPr>
        <w:pStyle w:val="FirstParagraph"/>
        <w:rPr/>
      </w:pPr>
      <w:r>
        <w:rPr>
          <w:i/>
          <w:iCs/>
        </w:rPr>
        <w:t xml:space="preserve">(fișier xlsx editabil, publicat împreună cu celelalte formulare: </w:t>
      </w:r>
      <w:r>
        <w:rPr>
          <w:rStyle w:val="VerbatimChar"/>
          <w:i/>
          <w:iCs/>
        </w:rPr>
        <w:t>Formularul_14_Macheta_Calendar_Executie.xlsx</w:t>
      </w:r>
      <w:r>
        <w:rPr>
          <w:i/>
          <w:iCs/>
        </w:rPr>
        <w:t>)</w:t>
      </w:r>
    </w:p>
    <w:p>
      <w:pPr>
        <w:pStyle w:val="BodyText"/>
        <w:rPr/>
      </w:pPr>
      <w:r>
        <w:rPr/>
        <w:t>Macheta pune în aceeași structură segmentele de la §3.4.1, activitățile de la §3.4.2 și documentele de substanțiere de la §3.4.3. Are următoarele foi:</w:t>
      </w:r>
    </w:p>
    <w:tbl>
      <w:tblPr>
        <w:tblStyle w:val="Table"/>
        <w:tblW w:w="495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HBand="0" w:noVBand="0" w:firstColumn="0" w:lastRow="0" w:lastColumn="0" w:firstRow="1" w:val="0020"/>
      </w:tblPr>
      <w:tblGrid>
        <w:gridCol w:w="2440"/>
        <w:gridCol w:w="4840"/>
        <w:gridCol w:w="1655"/>
      </w:tblGrid>
      <w:tr>
        <w:trPr>
          <w:tblHeader w:val="true"/>
        </w:trPr>
        <w:tc>
          <w:tcPr>
            <w:tcW w:w="2440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Foaie</w:t>
            </w:r>
          </w:p>
        </w:tc>
        <w:tc>
          <w:tcPr>
            <w:tcW w:w="4840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Utilizare</w:t>
            </w:r>
          </w:p>
        </w:tc>
        <w:tc>
          <w:tcPr>
            <w:tcW w:w="1655" w:type="dxa"/>
            <w:tcBorders>
              <w:bottom w:val="single" w:sz="6" w:space="0" w:color="000000"/>
            </w:tcBorders>
            <w:vAlign w:val="bottom"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Faza</w:t>
            </w:r>
          </w:p>
        </w:tc>
      </w:tr>
      <w:tr>
        <w:trPr/>
        <w:tc>
          <w:tcPr>
            <w:tcW w:w="24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Ofertă</w:t>
            </w:r>
          </w:p>
        </w:tc>
        <w:tc>
          <w:tcPr>
            <w:tcW w:w="48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graficul de execuție în săptămâni de la C0, cu resurse, responsabilități și verificările pct. 5 și 6 de la §3.4.3</w:t>
            </w:r>
          </w:p>
        </w:tc>
        <w:tc>
          <w:tcPr>
            <w:tcW w:w="16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ofertă — recomandată, neobligatorie</w:t>
            </w:r>
          </w:p>
        </w:tc>
      </w:tr>
      <w:tr>
        <w:trPr/>
        <w:tc>
          <w:tcPr>
            <w:tcW w:w="24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Jaloane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,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Registru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,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Tablou de bord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,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Gantt</w:t>
            </w:r>
          </w:p>
        </w:tc>
        <w:tc>
          <w:tcPr>
            <w:tcW w:w="48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Calendarul de Execuție: termene, prognoze, date realizate, stări și abateri, cu trimitere la clauzele Contractului</w:t>
            </w:r>
          </w:p>
        </w:tc>
        <w:tc>
          <w:tcPr>
            <w:tcW w:w="16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după semnare — art. 8.2</w:t>
            </w:r>
          </w:p>
        </w:tc>
      </w:tr>
      <w:tr>
        <w:trPr/>
        <w:tc>
          <w:tcPr>
            <w:tcW w:w="24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Foaie de parcurs</w:t>
            </w:r>
          </w:p>
        </w:tc>
        <w:tc>
          <w:tcPr>
            <w:tcW w:w="48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stadiul obligațiilor pe segment, cu semnătura uneia sau a ambelor Părți</w:t>
            </w:r>
          </w:p>
        </w:tc>
        <w:tc>
          <w:tcPr>
            <w:tcW w:w="16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după semnare — art. 8.2¹</w:t>
            </w:r>
          </w:p>
        </w:tc>
      </w:tr>
      <w:tr>
        <w:trPr/>
        <w:tc>
          <w:tcPr>
            <w:tcW w:w="24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Jurnal</w:t>
            </w:r>
          </w:p>
        </w:tc>
        <w:tc>
          <w:tcPr>
            <w:tcW w:w="48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evidența modificărilor și a acceptării lor de către cealaltă Parte</w:t>
            </w:r>
          </w:p>
        </w:tc>
        <w:tc>
          <w:tcPr>
            <w:tcW w:w="16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după semnare</w:t>
            </w:r>
          </w:p>
        </w:tc>
      </w:tr>
      <w:tr>
        <w:trPr/>
        <w:tc>
          <w:tcPr>
            <w:tcW w:w="24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Instrucțiuni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,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Sărbători</w:t>
            </w: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 xml:space="preserve">, </w:t>
            </w:r>
            <w:r>
              <w:rPr>
                <w:rFonts w:eastAsia="" w:cs=""/>
                <w:b/>
                <w:bCs/>
                <w:kern w:val="0"/>
                <w:sz w:val="24"/>
                <w:szCs w:val="24"/>
                <w:lang w:val="en-US" w:eastAsia="zh-CN" w:bidi="ar-SA"/>
              </w:rPr>
              <w:t>Liste</w:t>
            </w:r>
          </w:p>
        </w:tc>
        <w:tc>
          <w:tcPr>
            <w:tcW w:w="4840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auxiliare</w:t>
            </w:r>
          </w:p>
        </w:tc>
        <w:tc>
          <w:tcPr>
            <w:tcW w:w="1655" w:type="dxa"/>
            <w:tcBorders/>
          </w:tcPr>
          <w:p>
            <w:pPr>
              <w:pStyle w:val="Compact"/>
              <w:widowControl/>
              <w:spacing w:before="36" w:after="36"/>
              <w:jc w:val="left"/>
              <w:rPr>
                <w:rFonts w:ascii="Aptos" w:hAnsi="Aptos" w:eastAsia="" w:cs="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eastAsia="" w:cs=""/>
                <w:kern w:val="0"/>
                <w:sz w:val="24"/>
                <w:szCs w:val="24"/>
                <w:lang w:val="en-US" w:eastAsia="zh-CN" w:bidi="ar-SA"/>
              </w:rPr>
              <w:t>—</w:t>
            </w:r>
          </w:p>
        </w:tc>
      </w:tr>
    </w:tbl>
    <w:p>
      <w:pPr>
        <w:pStyle w:val="BodyText"/>
        <w:spacing w:before="180" w:after="180"/>
        <w:rPr/>
      </w:pPr>
      <w:r>
        <w:rPr/>
        <w:t>La ofertă, foaia „Ofertă” nu este obligatorie și nu constituie criteriu de conformitate sau de punctaj (§3.4.3). După semnare, macheta are regimul de la art. 8.2 și 8.2¹ din modelul de contract.</w:t>
      </w:r>
      <w:bookmarkEnd w:id="0"/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swiss"/>
    <w:pitch w:val="default"/>
  </w:font>
  <w:font w:name="Aptos Display">
    <w:charset w:val="01"/>
    <w:family w:val="swiss"/>
    <w:pitch w:val="default"/>
  </w:font>
  <w:font w:name="Consolas">
    <w:charset w:val="01"/>
    <w:family w:val="swiss"/>
    <w:pitch w:val="default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default"/>
  </w:font>
  <w:font w:name="Calibri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00"/>
  <w:embedSystemFonts/>
  <w:defaultTabStop w:val="720"/>
  <w:autoHyphenation w:val="true"/>
  <w:hyphenationZone w:val="0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ptos" w:hAnsi="Aptos" w:eastAsia="" w:cs="" w:asciiTheme="minorHAnsi" w:cstheme="minorBidi" w:eastAsiaTheme="minorEastAsia" w:hAnsiTheme="minorHAnsi"/>
        <w:sz w:val="24"/>
        <w:szCs w:val="24"/>
        <w:lang w:val="en-US" w:eastAsia="zh-CN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276"/>
  <w:style w:type="paragraph" w:styleId="Normal" w:default="1">
    <w:name w:val="Normal"/>
    <w:qFormat/>
    <w:pPr>
      <w:widowControl/>
      <w:bidi w:val="0"/>
      <w:spacing w:before="0" w:after="200"/>
      <w:jc w:val="left"/>
    </w:pPr>
    <w:rPr>
      <w:rFonts w:ascii="Aptos" w:hAnsi="Aptos" w:eastAsia="" w:cs="" w:asciiTheme="minorHAnsi" w:cstheme="minorBidi" w:eastAsiaTheme="minorEastAsia" w:hAnsiTheme="minorHAnsi"/>
      <w:color w:val="auto"/>
      <w:kern w:val="0"/>
      <w:sz w:val="24"/>
      <w:szCs w:val="24"/>
      <w:lang w:val="en-US" w:eastAsia="zh-CN" w:bidi="ar-SA"/>
    </w:rPr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before="360" w:after="80"/>
      <w:outlineLvl w:val="0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before="160" w:after="80"/>
      <w:outlineLvl w:val="1"/>
    </w:pPr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0F4761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0F4761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0F4761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TitleChar" w:customStyle="1">
    <w:name w:val="Title Char"/>
    <w:basedOn w:val="DefaultParagraphFont"/>
    <w:link w:val="Title"/>
    <w:uiPriority w:val="10"/>
    <w:qFormat/>
    <w:rsid w:val="00a10fd9"/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a10fd9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a10fd9"/>
    <w:rPr>
      <w:rFonts w:ascii="Aptos Display" w:hAnsi="Aptos Display" w:eastAsia="" w:cs="" w:asciiTheme="majorHAnsi" w:cstheme="majorBidi" w:eastAsiaTheme="majorEastAsia" w:hAnsiTheme="majorHAnsi"/>
      <w:color w:themeColor="accent1" w:themeShade="bf" w:val="0F4761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a10fd9"/>
    <w:rPr>
      <w:rFonts w:eastAsia="" w:cs="" w:cstheme="majorBidi" w:eastAsiaTheme="majorEastAsia"/>
      <w:i/>
      <w:iCs/>
      <w:color w:themeColor="accent1" w:themeShade="bf" w:val="0F4761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a10fd9"/>
    <w:rPr>
      <w:rFonts w:eastAsia="" w:cs="" w:cstheme="majorBidi" w:eastAsiaTheme="majorEastAsia"/>
      <w:color w:themeColor="accent1" w:themeShade="bf" w:val="0F4761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a6" w:val="595959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a10fd9"/>
    <w:rPr>
      <w:rFonts w:eastAsia="" w:cs="" w:cstheme="majorBidi" w:eastAsiaTheme="majorEastAsia"/>
      <w:color w:themeColor="text1" w:themeTint="a6" w:val="595959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a10fd9"/>
    <w:rPr>
      <w:rFonts w:eastAsia="" w:cs="" w:cstheme="majorBidi" w:eastAsiaTheme="majorEastAsia"/>
      <w:i/>
      <w:iCs/>
      <w:color w:themeColor="text1" w:themeTint="d8" w:val="272727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a10fd9"/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semiHidden/>
    <w:unhideWhenUsed/>
    <w:qFormat/>
    <w:rPr/>
  </w:style>
  <w:style w:type="character" w:styleId="BodyTextChar" w:customStyle="1">
    <w:name w:val="Body Text Char"/>
    <w:basedOn w:val="DefaultParagraphFont"/>
    <w:qFormat/>
    <w:rPr/>
  </w:style>
  <w:style w:type="character" w:styleId="VerbatimChar" w:customStyle="1">
    <w:name w:val="Verbatim Char"/>
    <w:basedOn w:val="BodyTextChar"/>
    <w:qFormat/>
    <w:rPr>
      <w:rFonts w:ascii="Consolas" w:hAnsi="Consolas"/>
      <w:sz w:val="22"/>
    </w:rPr>
  </w:style>
  <w:style w:type="character" w:styleId="SectionNumber" w:customStyle="1">
    <w:name w:val="Section Number"/>
    <w:basedOn w:val="BodyTextChar"/>
    <w:qFormat/>
    <w:rPr/>
  </w:style>
  <w:style w:type="character" w:styleId="FootnoteCharacters">
    <w:name w:val="Footnote Characters"/>
    <w:basedOn w:val="BodyTextChar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Hyperlink">
    <w:name w:val="Hyperlink"/>
    <w:basedOn w:val="BodyTextChar"/>
    <w:rPr>
      <w:color w:themeColor="accent1" w:val="4F81BD"/>
    </w:rPr>
  </w:style>
  <w:style w:type="character" w:styleId="KeywordTok" w:customStyle="1">
    <w:name w:val="KeywordTok"/>
    <w:basedOn w:val="VerbatimChar"/>
    <w:qFormat/>
    <w:rPr>
      <w:b/>
      <w:color w:val="007020"/>
    </w:rPr>
  </w:style>
  <w:style w:type="character" w:styleId="DataTypeTok" w:customStyle="1">
    <w:name w:val="DataTypeTok"/>
    <w:basedOn w:val="VerbatimChar"/>
    <w:qFormat/>
    <w:rPr>
      <w:color w:val="902000"/>
    </w:rPr>
  </w:style>
  <w:style w:type="character" w:styleId="DecValTok" w:customStyle="1">
    <w:name w:val="DecValTok"/>
    <w:basedOn w:val="VerbatimChar"/>
    <w:qFormat/>
    <w:rPr>
      <w:color w:val="40A070"/>
    </w:rPr>
  </w:style>
  <w:style w:type="character" w:styleId="BaseNTok" w:customStyle="1">
    <w:name w:val="BaseNTok"/>
    <w:basedOn w:val="VerbatimChar"/>
    <w:qFormat/>
    <w:rPr>
      <w:color w:val="40A070"/>
    </w:rPr>
  </w:style>
  <w:style w:type="character" w:styleId="FloatTok" w:customStyle="1">
    <w:name w:val="FloatTok"/>
    <w:basedOn w:val="VerbatimChar"/>
    <w:qFormat/>
    <w:rPr>
      <w:color w:val="40A070"/>
    </w:rPr>
  </w:style>
  <w:style w:type="character" w:styleId="ConstantTok" w:customStyle="1">
    <w:name w:val="ConstantTok"/>
    <w:basedOn w:val="VerbatimChar"/>
    <w:qFormat/>
    <w:rPr>
      <w:color w:val="880000"/>
    </w:rPr>
  </w:style>
  <w:style w:type="character" w:styleId="CharTok" w:customStyle="1">
    <w:name w:val="CharTok"/>
    <w:basedOn w:val="VerbatimChar"/>
    <w:qFormat/>
    <w:rPr>
      <w:color w:val="4070A0"/>
    </w:rPr>
  </w:style>
  <w:style w:type="character" w:styleId="SpecialCharTok" w:customStyle="1">
    <w:name w:val="SpecialCharTok"/>
    <w:basedOn w:val="VerbatimChar"/>
    <w:qFormat/>
    <w:rPr>
      <w:color w:val="4070A0"/>
    </w:rPr>
  </w:style>
  <w:style w:type="character" w:styleId="StringTok" w:customStyle="1">
    <w:name w:val="StringTok"/>
    <w:basedOn w:val="VerbatimChar"/>
    <w:qFormat/>
    <w:rPr>
      <w:color w:val="4070A0"/>
    </w:rPr>
  </w:style>
  <w:style w:type="character" w:styleId="VerbatimStringTok" w:customStyle="1">
    <w:name w:val="VerbatimStringTok"/>
    <w:basedOn w:val="VerbatimChar"/>
    <w:qFormat/>
    <w:rPr>
      <w:color w:val="4070A0"/>
    </w:rPr>
  </w:style>
  <w:style w:type="character" w:styleId="SpecialStringTok" w:customStyle="1">
    <w:name w:val="SpecialStringTok"/>
    <w:basedOn w:val="VerbatimChar"/>
    <w:qFormat/>
    <w:rPr>
      <w:color w:val="BB6688"/>
    </w:rPr>
  </w:style>
  <w:style w:type="character" w:styleId="ImportTok" w:customStyle="1">
    <w:name w:val="ImportTok"/>
    <w:basedOn w:val="VerbatimChar"/>
    <w:qFormat/>
    <w:rPr>
      <w:b/>
      <w:color w:val="008000"/>
    </w:rPr>
  </w:style>
  <w:style w:type="character" w:styleId="CommentTok" w:customStyle="1">
    <w:name w:val="CommentTok"/>
    <w:basedOn w:val="VerbatimChar"/>
    <w:qFormat/>
    <w:rPr>
      <w:i/>
      <w:color w:val="60A0B0"/>
    </w:rPr>
  </w:style>
  <w:style w:type="character" w:styleId="DocumentationTok" w:customStyle="1">
    <w:name w:val="DocumentationTok"/>
    <w:basedOn w:val="VerbatimChar"/>
    <w:qFormat/>
    <w:rPr>
      <w:i/>
      <w:color w:val="BA2121"/>
    </w:rPr>
  </w:style>
  <w:style w:type="character" w:styleId="AnnotationTok" w:customStyle="1">
    <w:name w:val="AnnotationTok"/>
    <w:basedOn w:val="VerbatimChar"/>
    <w:qFormat/>
    <w:rPr>
      <w:b/>
      <w:i/>
      <w:color w:val="60A0B0"/>
    </w:rPr>
  </w:style>
  <w:style w:type="character" w:styleId="CommentVarTok" w:customStyle="1">
    <w:name w:val="CommentVarTok"/>
    <w:basedOn w:val="VerbatimChar"/>
    <w:qFormat/>
    <w:rPr>
      <w:b/>
      <w:i/>
      <w:color w:val="60A0B0"/>
    </w:rPr>
  </w:style>
  <w:style w:type="character" w:styleId="OtherTok" w:customStyle="1">
    <w:name w:val="OtherTok"/>
    <w:basedOn w:val="VerbatimChar"/>
    <w:qFormat/>
    <w:rPr>
      <w:color w:val="007020"/>
    </w:rPr>
  </w:style>
  <w:style w:type="character" w:styleId="FunctionTok" w:customStyle="1">
    <w:name w:val="FunctionTok"/>
    <w:basedOn w:val="VerbatimChar"/>
    <w:qFormat/>
    <w:rPr>
      <w:color w:val="06287E"/>
    </w:rPr>
  </w:style>
  <w:style w:type="character" w:styleId="VariableTok" w:customStyle="1">
    <w:name w:val="VariableTok"/>
    <w:basedOn w:val="VerbatimChar"/>
    <w:qFormat/>
    <w:rPr>
      <w:color w:val="19177C"/>
    </w:rPr>
  </w:style>
  <w:style w:type="character" w:styleId="ControlFlowTok" w:customStyle="1">
    <w:name w:val="ControlFlowTok"/>
    <w:basedOn w:val="VerbatimChar"/>
    <w:qFormat/>
    <w:rPr>
      <w:b/>
      <w:color w:val="007020"/>
    </w:rPr>
  </w:style>
  <w:style w:type="character" w:styleId="OperatorTok" w:customStyle="1">
    <w:name w:val="OperatorTok"/>
    <w:basedOn w:val="VerbatimChar"/>
    <w:qFormat/>
    <w:rPr>
      <w:color w:val="666666"/>
    </w:rPr>
  </w:style>
  <w:style w:type="character" w:styleId="BuiltInTok" w:customStyle="1">
    <w:name w:val="BuiltInTok"/>
    <w:basedOn w:val="VerbatimChar"/>
    <w:qFormat/>
    <w:rPr>
      <w:color w:val="008000"/>
    </w:rPr>
  </w:style>
  <w:style w:type="character" w:styleId="ExtensionTok" w:customStyle="1">
    <w:name w:val="ExtensionTok"/>
    <w:basedOn w:val="VerbatimChar"/>
    <w:qFormat/>
    <w:rPr/>
  </w:style>
  <w:style w:type="character" w:styleId="PreprocessorTok" w:customStyle="1">
    <w:name w:val="PreprocessorTok"/>
    <w:basedOn w:val="VerbatimChar"/>
    <w:qFormat/>
    <w:rPr>
      <w:color w:val="BC7A00"/>
    </w:rPr>
  </w:style>
  <w:style w:type="character" w:styleId="AttributeTok" w:customStyle="1">
    <w:name w:val="AttributeTok"/>
    <w:basedOn w:val="VerbatimChar"/>
    <w:qFormat/>
    <w:rPr>
      <w:color w:val="7D9029"/>
    </w:rPr>
  </w:style>
  <w:style w:type="character" w:styleId="RegionMarkerTok" w:customStyle="1">
    <w:name w:val="RegionMarkerTok"/>
    <w:basedOn w:val="VerbatimChar"/>
    <w:qFormat/>
    <w:rPr/>
  </w:style>
  <w:style w:type="character" w:styleId="InformationTok" w:customStyle="1">
    <w:name w:val="InformationTok"/>
    <w:basedOn w:val="VerbatimChar"/>
    <w:qFormat/>
    <w:rPr>
      <w:b/>
      <w:i/>
      <w:color w:val="60A0B0"/>
    </w:rPr>
  </w:style>
  <w:style w:type="character" w:styleId="WarningTok" w:customStyle="1">
    <w:name w:val="WarningTok"/>
    <w:basedOn w:val="VerbatimChar"/>
    <w:qFormat/>
    <w:rPr>
      <w:b/>
      <w:i/>
      <w:color w:val="60A0B0"/>
    </w:rPr>
  </w:style>
  <w:style w:type="character" w:styleId="AlertTok" w:customStyle="1">
    <w:name w:val="AlertTok"/>
    <w:basedOn w:val="VerbatimChar"/>
    <w:qFormat/>
    <w:rPr>
      <w:b/>
      <w:color w:val="FF0000"/>
    </w:rPr>
  </w:style>
  <w:style w:type="character" w:styleId="ErrorTok" w:customStyle="1">
    <w:name w:val="ErrorTok"/>
    <w:basedOn w:val="VerbatimChar"/>
    <w:qFormat/>
    <w:rPr>
      <w:b/>
      <w:color w:val="FF0000"/>
    </w:rPr>
  </w:style>
  <w:style w:type="character" w:styleId="NormalTok" w:customStyle="1">
    <w:name w:val="NormalTok"/>
    <w:basedOn w:val="VerbatimChar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" w:cs="Roboto"/>
      <w:sz w:val="28"/>
      <w:szCs w:val="28"/>
    </w:rPr>
  </w:style>
  <w:style w:type="paragraph" w:styleId="BodyText">
    <w:name w:val="Body Text"/>
    <w:basedOn w:val="Normal"/>
    <w:link w:val="BodyTextChar"/>
    <w:qFormat/>
    <w:pPr>
      <w:spacing w:before="180" w:after="180"/>
    </w:pPr>
    <w:rPr/>
  </w:style>
  <w:style w:type="paragraph" w:styleId="List">
    <w:name w:val="List"/>
    <w:basedOn w:val="BodyText"/>
    <w:pPr/>
    <w:rPr>
      <w:rFonts w:ascii="Arial" w:hAnsi="Arial" w:cs="Roboto"/>
    </w:rPr>
  </w:style>
  <w:style w:type="paragraph" w:styleId="Caption">
    <w:name w:val="caption"/>
    <w:basedOn w:val="Normal"/>
    <w:link w:val="BodyTextChar"/>
    <w:qFormat/>
    <w:pPr>
      <w:spacing w:before="0" w:after="120"/>
    </w:pPr>
    <w:rPr>
      <w:i/>
    </w:rPr>
  </w:style>
  <w:style w:type="paragraph" w:styleId="Index">
    <w:name w:val="Index"/>
    <w:basedOn w:val="Normal"/>
    <w:qFormat/>
    <w:pPr>
      <w:suppressLineNumbers/>
    </w:pPr>
    <w:rPr>
      <w:rFonts w:ascii="Calibri" w:hAnsi="Calibri" w:cs="Roboto"/>
    </w:rPr>
  </w:style>
  <w:style w:type="paragraph" w:styleId="FirstParagraph" w:customStyle="1">
    <w:name w:val="First Paragraph"/>
    <w:basedOn w:val="BodyText"/>
    <w:next w:val="BodyText"/>
    <w:qFormat/>
    <w:pPr/>
    <w:rPr/>
  </w:style>
  <w:style w:type="paragraph" w:styleId="Compact" w:customStyle="1">
    <w:name w:val="Compact"/>
    <w:basedOn w:val="BodyText"/>
    <w:qFormat/>
    <w:pPr>
      <w:spacing w:before="36" w:after="36"/>
    </w:pPr>
    <w:rPr/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lineRule="auto" w:line="240" w:before="0" w:after="80"/>
      <w:contextualSpacing/>
      <w:jc w:val="center"/>
    </w:pPr>
    <w:rPr>
      <w:rFonts w:ascii="Aptos Display" w:hAnsi="Aptos Display" w:eastAsia="" w:cs="" w:asciiTheme="majorHAnsi" w:cstheme="majorBidi" w:eastAsiaTheme="majorEastAsia" w:hAnsiTheme="majorHAns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/>
    <w:rPr>
      <w:rFonts w:eastAsia="" w:cs="" w:cstheme="majorBidi" w:eastAsiaTheme="majorEastAsia"/>
      <w:spacing w:val="15"/>
      <w:sz w:val="28"/>
      <w:szCs w:val="28"/>
    </w:rPr>
  </w:style>
  <w:style w:type="paragraph" w:styleId="Author" w:customStyle="1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type="paragraph" w:styleId="AbstractTitle" w:customStyle="1">
    <w:name w:val="Abstract Title"/>
    <w:basedOn w:val="Normal"/>
    <w:next w:val="Abstract"/>
    <w:qFormat/>
    <w:pPr>
      <w:keepNext w:val="true"/>
      <w:keepLines/>
      <w:spacing w:before="300" w:after="0"/>
      <w:jc w:val="center"/>
    </w:pPr>
    <w:rPr>
      <w:b/>
      <w:sz w:val="20"/>
      <w:szCs w:val="20"/>
    </w:rPr>
  </w:style>
  <w:style w:type="paragraph" w:styleId="Abstract" w:customStyle="1">
    <w:name w:val="Abstract"/>
    <w:basedOn w:val="Normal"/>
    <w:next w:val="BodyText"/>
    <w:qFormat/>
    <w:pPr>
      <w:keepNext w:val="true"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  <w:pPr/>
    <w:rPr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hanging="0" w:left="480" w:right="480"/>
    </w:pPr>
    <w:rPr/>
  </w:style>
  <w:style w:type="paragraph" w:styleId="FootnoteText">
    <w:name w:val="footnote text"/>
    <w:basedOn w:val="Normal"/>
    <w:uiPriority w:val="9"/>
    <w:unhideWhenUsed/>
    <w:qFormat/>
    <w:pPr/>
    <w:rPr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hanging="0" w:left="480" w:right="480"/>
    </w:pPr>
    <w:rPr/>
  </w:style>
  <w:style w:type="paragraph" w:styleId="DefinitionTerm" w:customStyle="1">
    <w:name w:val="Definition Term"/>
    <w:basedOn w:val="Normal"/>
    <w:next w:val="Definition"/>
    <w:qFormat/>
    <w:pPr>
      <w:keepNext w:val="true"/>
      <w:keepLines/>
      <w:spacing w:before="0" w:after="0"/>
    </w:pPr>
    <w:rPr>
      <w:b/>
    </w:rPr>
  </w:style>
  <w:style w:type="paragraph" w:styleId="Definition" w:customStyle="1">
    <w:name w:val="Definition"/>
    <w:basedOn w:val="Normal"/>
    <w:qFormat/>
    <w:pPr/>
    <w:rPr/>
  </w:style>
  <w:style w:type="paragraph" w:styleId="TableCaption" w:customStyle="1">
    <w:name w:val="Table Caption"/>
    <w:basedOn w:val="Caption"/>
    <w:qFormat/>
    <w:pPr>
      <w:keepNext w:val="true"/>
    </w:pPr>
    <w:rPr/>
  </w:style>
  <w:style w:type="paragraph" w:styleId="ImageCaption" w:customStyle="1">
    <w:name w:val="Image Caption"/>
    <w:basedOn w:val="Caption"/>
    <w:qFormat/>
    <w:pPr/>
    <w:rPr/>
  </w:style>
  <w:style w:type="paragraph" w:styleId="Figure" w:customStyle="1">
    <w:name w:val="Figure"/>
    <w:basedOn w:val="Normal"/>
    <w:qFormat/>
    <w:pPr/>
    <w:rPr/>
  </w:style>
  <w:style w:type="paragraph" w:styleId="CaptionedFigure" w:customStyle="1">
    <w:name w:val="Captioned Figure"/>
    <w:basedOn w:val="Figure"/>
    <w:qFormat/>
    <w:pPr>
      <w:keepNext w:val="true"/>
    </w:pPr>
    <w:rPr/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BodyText"/>
    <w:uiPriority w:val="39"/>
    <w:unhideWhenUsed/>
    <w:qFormat/>
    <w:pPr>
      <w:spacing w:lineRule="auto" w:line="259" w:before="240" w:after="80"/>
      <w:outlineLvl w:val="9"/>
    </w:pPr>
    <w:rPr>
      <w:rFonts w:ascii="Aptos Display" w:hAnsi="Aptos Display" w:eastAsia="" w:cs="" w:asciiTheme="majorHAnsi" w:cstheme="majorBidi" w:eastAsiaTheme="majorEastAsia" w:hAnsiTheme="majorHAnsi"/>
      <w:b w:val="false"/>
      <w:bCs w:val="false"/>
      <w:color w:themeColor="accent1" w:themeShade="bf" w:val="365F91"/>
    </w:rPr>
  </w:style>
  <w:style w:type="paragraph" w:styleId="SourceCode" w:customStyle="1">
    <w:name w:val="Source Code"/>
    <w:basedOn w:val="Normal"/>
    <w:link w:val="VerbatimChar"/>
    <w:qFormat/>
    <w:pPr/>
    <w:rPr/>
  </w:style>
  <w:style w:type="table" w:default="1" w:styleId="Table">
    <w:name w:val="Table"/>
    <w:basedOn w:val="TableNormal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/>
        </w:tcBorders>
        <w:vAlign w:val="bottom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LibreOffice/26.2.5.2$Linux_X86_64 LibreOffice_project/620$Build-2</Application>
  <AppVersion>15.0000</AppVersion>
  <Pages>1</Pages>
  <Words>160</Words>
  <Characters>949</Characters>
  <CharactersWithSpaces>1090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2026-09-15T17:13:10Z</dcterms:created>
  <dc:creator/>
  <dc:description/>
  <dc:language>ro-RO</dc:language>
  <cp:lastModifiedBy/>
  <dcterms:modified xsi:type="dcterms:W3CDTF">2026-09-15T20:18:36Z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