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keepNext w:val="true"/>
        <w:keepLines/>
        <w:spacing w:before="160" w:after="80"/>
        <w:rPr/>
      </w:pPr>
      <w:bookmarkStart w:id="0" w:name="Xf79b88234ceebe91d9193daca9cf2874d378208"/>
      <w:r>
        <w:rPr/>
        <w:t>Formularul nr. 12 — Model de instrument de garantare a bunei execuții</w:t>
      </w:r>
    </w:p>
    <w:p>
      <w:pPr>
        <w:pStyle w:val="FirstParagraph"/>
        <w:rPr/>
      </w:pPr>
      <w:r>
        <w:rPr>
          <w:i/>
          <w:iCs/>
        </w:rPr>
        <w:t>Se emite pe antetul emitentului — instituție de credit (instrument de tip B1) sau societate de asigurare (instrument de tip B2) care îndeplinește condițiile de la §3.6.2. Textul este model; abaterile sunt admise numai în condițiile de la §3.6.3.</w:t>
      </w:r>
    </w:p>
    <w:p>
      <w:pPr>
        <w:pStyle w:val="BodyText"/>
        <w:rPr/>
      </w:pPr>
      <w:r>
        <w:rPr>
          <w:b/>
          <w:bCs/>
        </w:rPr>
        <w:t>INSTRUMENT DE GARANTARE A BUNEI EXECUȚII nr. ………. din ……….</w:t>
      </w:r>
    </w:p>
    <w:p>
      <w:pPr>
        <w:pStyle w:val="BodyText"/>
        <w:rPr/>
      </w:pPr>
      <w:r>
        <w:rPr/>
        <w:t xml:space="preserve">Către: </w:t>
      </w:r>
      <w:r>
        <w:rPr>
          <w:b/>
          <w:bCs/>
        </w:rPr>
        <w:t>S.C. DFG Active Imobiliare S.R.L.</w:t>
      </w:r>
      <w:r>
        <w:rPr/>
        <w:t>, în calitate de beneficiar al garanției (denumită în continuare „Beneficiarul garanției”)</w:t>
      </w:r>
    </w:p>
    <w:p>
      <w:pPr>
        <w:pStyle w:val="BodyText"/>
        <w:rPr/>
      </w:pPr>
      <w:r>
        <w:rPr/>
        <w:t>Cu privire la Contractul de achiziție nr. ………. din ………., încheiat între Beneficiarul garanției și ………………………… (denumit în continuare „Furnizorul”), având ca obiect execuția în regim EPC la cheie a instalației de stocare a energiei electrice de 6,00 MWh,</w:t>
      </w:r>
    </w:p>
    <w:p>
      <w:pPr>
        <w:pStyle w:val="BodyText"/>
        <w:rPr/>
      </w:pPr>
      <w:r>
        <w:rPr/>
        <w:t>subscrisa ………………………… (denumirea emitentului, sediul, numărul din registrul BNR, al Autorității Bancare Europene sau al ASF), ne obligăm irevocabil și necondiționat față de Beneficiarul garanției, după cum urmează:</w:t>
      </w:r>
    </w:p>
    <w:p>
      <w:pPr>
        <w:pStyle w:val="Compact"/>
        <w:numPr>
          <w:ilvl w:val="0"/>
          <w:numId w:val="3"/>
        </w:numPr>
        <w:rPr/>
      </w:pPr>
      <w:r>
        <w:rPr/>
        <w:t xml:space="preserve">Plătim Beneficiarului garanției orice sumă, până la concurența valorii fixe de </w:t>
      </w:r>
      <w:r>
        <w:rPr>
          <w:b/>
          <w:bCs/>
        </w:rPr>
        <w:t>……………….. lei</w:t>
      </w:r>
      <w:r>
        <w:rPr/>
        <w:t xml:space="preserve">, reprezentând </w:t>
      </w:r>
      <w:r>
        <w:rPr>
          <w:b/>
          <w:bCs/>
        </w:rPr>
        <w:t>10% din valoarea Contractului</w:t>
      </w:r>
      <w:r>
        <w:rPr/>
        <w:t xml:space="preserve">, la </w:t>
      </w:r>
      <w:r>
        <w:rPr>
          <w:b/>
          <w:bCs/>
        </w:rPr>
        <w:t>prima sa cerere scrisă</w:t>
      </w:r>
      <w:r>
        <w:rPr/>
        <w:t>, în care se declară că Furnizorul nu și-a îndeplinit una sau mai multe dintre obligațiile asumate prin Contract, inclusiv plata penalităților, a reducerilor de preț prevăzute la art. 9.6, a despăgubirilor de performanță prevăzute la art. 13.3¹ și a sumelor datorate în temeiul art. 23 din Contract.</w:t>
      </w:r>
    </w:p>
    <w:p>
      <w:pPr>
        <w:pStyle w:val="Compact"/>
        <w:numPr>
          <w:ilvl w:val="0"/>
          <w:numId w:val="1"/>
        </w:numPr>
        <w:rPr/>
      </w:pPr>
      <w:r>
        <w:rPr/>
        <w:t xml:space="preserve">Plata se face în maximum </w:t>
      </w:r>
      <w:r>
        <w:rPr>
          <w:b/>
          <w:bCs/>
        </w:rPr>
        <w:t>15 zile calendaristice</w:t>
      </w:r>
      <w:r>
        <w:rPr/>
        <w:t xml:space="preserve"> de la primirea cererii scrise.</w:t>
      </w:r>
    </w:p>
    <w:p>
      <w:pPr>
        <w:pStyle w:val="Compact"/>
        <w:numPr>
          <w:ilvl w:val="0"/>
          <w:numId w:val="1"/>
        </w:numPr>
        <w:rPr/>
      </w:pPr>
      <w:r>
        <w:rPr/>
        <w:t xml:space="preserve">Prezentul instrument este </w:t>
      </w:r>
      <w:r>
        <w:rPr>
          <w:b/>
          <w:bCs/>
        </w:rPr>
        <w:t>autonom</w:t>
      </w:r>
      <w:r>
        <w:rPr/>
        <w:t xml:space="preserve"> față de Contract și </w:t>
      </w:r>
      <w:r>
        <w:rPr>
          <w:b/>
          <w:bCs/>
        </w:rPr>
        <w:t>nu constituie fideiusiune</w:t>
      </w:r>
      <w:r>
        <w:rPr/>
        <w:t>. Nu avem dreptul de a analiza raportul contractual dintre Beneficiarul garanției și Furnizor și nu condiționăm plata de acordul, confirmarea, semnătura sau necontestarea Furnizorului, de prezentarea unei hotărâri judecătorești ori arbitrale sau de constatarea unui terț.</w:t>
      </w:r>
    </w:p>
    <w:p>
      <w:pPr>
        <w:pStyle w:val="Compact"/>
        <w:numPr>
          <w:ilvl w:val="0"/>
          <w:numId w:val="1"/>
        </w:numPr>
        <w:rPr/>
      </w:pPr>
      <w:r>
        <w:rPr/>
        <w:t>Beneficiarul garanției nu este obligat să dovedească prejudiciul, culpa Furnizorului sau punerea acestuia în întârziere.</w:t>
      </w:r>
    </w:p>
    <w:p>
      <w:pPr>
        <w:pStyle w:val="Compact"/>
        <w:numPr>
          <w:ilvl w:val="0"/>
          <w:numId w:val="1"/>
        </w:numPr>
        <w:rPr/>
      </w:pPr>
      <w:r>
        <w:rPr/>
        <w:t>Renunțăm expres la beneficiul de discuțiune și la beneficiul de diviziune.</w:t>
      </w:r>
    </w:p>
    <w:p>
      <w:pPr>
        <w:pStyle w:val="Compact"/>
        <w:numPr>
          <w:ilvl w:val="0"/>
          <w:numId w:val="1"/>
        </w:numPr>
        <w:rPr/>
      </w:pPr>
      <w:r>
        <w:rPr/>
        <w:t xml:space="preserve">Instrumentul poate fi executat </w:t>
      </w:r>
      <w:r>
        <w:rPr>
          <w:b/>
          <w:bCs/>
        </w:rPr>
        <w:t>parțial, prin cereri succesive</w:t>
      </w:r>
      <w:r>
        <w:rPr/>
        <w:t xml:space="preserve">, până la epuizarea valorii. Valoarea lui </w:t>
      </w:r>
      <w:r>
        <w:rPr>
          <w:b/>
          <w:bCs/>
        </w:rPr>
        <w:t>nu se reduce automat</w:t>
      </w:r>
      <w:r>
        <w:rPr/>
        <w:t>, în timp sau pe măsura execuției, în lipsa acordului scris al Beneficiarului garanției. Nu se aplică nicio franșiză.</w:t>
      </w:r>
    </w:p>
    <w:p>
      <w:pPr>
        <w:pStyle w:val="Compact"/>
        <w:numPr>
          <w:ilvl w:val="0"/>
          <w:numId w:val="1"/>
        </w:numPr>
        <w:rPr/>
      </w:pPr>
      <w:r>
        <w:rPr/>
        <w:t xml:space="preserve">Instrumentul este valabil până la data de ………., respectiv </w:t>
      </w:r>
      <w:r>
        <w:rPr>
          <w:b/>
          <w:bCs/>
        </w:rPr>
        <w:t>Recepția Finală plus 30 de zile</w:t>
      </w:r>
      <w:r>
        <w:rPr/>
        <w:t>, și se prelungește în condițiile art. 7.2 din Contract.</w:t>
      </w:r>
    </w:p>
    <w:p>
      <w:pPr>
        <w:pStyle w:val="Compact"/>
        <w:numPr>
          <w:ilvl w:val="0"/>
          <w:numId w:val="1"/>
        </w:numPr>
        <w:rPr/>
      </w:pPr>
      <w:r>
        <w:rPr/>
        <w:t>Valabilitatea instrumentului nu este afectată de neplata sau plata cu întârziere a primei, a comisionului ori a oricărei alte sume datorate de Furnizor, de declarațiile inexacte ale acestuia, de nerespectarea de către el a obligațiilor față de emitent și nici de actele adiționale la Contract.</w:t>
      </w:r>
    </w:p>
    <w:p>
      <w:pPr>
        <w:pStyle w:val="Compact"/>
        <w:numPr>
          <w:ilvl w:val="0"/>
          <w:numId w:val="1"/>
        </w:numPr>
        <w:rPr/>
      </w:pPr>
      <w:r>
        <w:rPr/>
        <w:t>Instrumentul poate fi cesionat finanțatorului Beneficiarului garanției, cu simpla notificare a emitentului.</w:t>
      </w:r>
    </w:p>
    <w:p>
      <w:pPr>
        <w:pStyle w:val="Compact"/>
        <w:numPr>
          <w:ilvl w:val="0"/>
          <w:numId w:val="1"/>
        </w:numPr>
        <w:rPr/>
      </w:pPr>
      <w:r>
        <w:rPr/>
        <w:t xml:space="preserve">Instrumentul este guvernat de legea română, iar litigiile se soluționează de instanțele competente din România. </w:t>
      </w:r>
      <w:r>
        <w:rPr>
          <w:i/>
          <w:iCs/>
        </w:rPr>
        <w:t>[Numai pentru instrumentele de tip B1:]</w:t>
      </w:r>
      <w:r>
        <w:rPr/>
        <w:t xml:space="preserve"> se aplică, în completare, Regulile Uniforme URDG 758 ale Camerei Internaționale de Comerț, în măsura în care nu contravin prezentului text.</w:t>
      </w:r>
    </w:p>
    <w:p>
      <w:pPr>
        <w:pStyle w:val="Compact"/>
        <w:numPr>
          <w:ilvl w:val="0"/>
          <w:numId w:val="1"/>
        </w:numPr>
        <w:rPr/>
      </w:pPr>
      <w:r>
        <w:rPr>
          <w:i/>
          <w:iCs/>
        </w:rPr>
        <w:t>[Numai pentru instrumentele de tip B2:]</w:t>
      </w:r>
      <w:r>
        <w:rPr/>
        <w:t xml:space="preserve"> Renunțăm expres la orice excepție derivată din raportul de asigurare, în special la neplata sau plata cu întârziere a primei, la declarațiile inexacte ale contractantului asigurării și la nerespectarea de către acesta a obligațiilor din poliță.</w:t>
      </w:r>
    </w:p>
    <w:p>
      <w:pPr>
        <w:pStyle w:val="FirstParagraph"/>
        <w:rPr/>
      </w:pPr>
      <w:r>
        <w:rPr>
          <w:i/>
          <w:iCs/>
        </w:rPr>
        <w:t>[Numai pentru emitenții din afara României:]</w:t>
      </w:r>
      <w:r>
        <w:rPr/>
        <w:t xml:space="preserve"> Instrumentul este plătibil în România / este confirmat de ………………………… (instituție de credit din România).</w:t>
      </w:r>
    </w:p>
    <w:p>
      <w:pPr>
        <w:pStyle w:val="BodyText"/>
        <w:spacing w:before="180" w:after="180"/>
        <w:rPr/>
      </w:pPr>
      <w:r>
        <w:rPr>
          <w:b/>
          <w:bCs/>
        </w:rPr>
        <w:t>Data emiterii: ………………</w:t>
      </w:r>
      <w:r>
        <w:rPr/>
        <w:t xml:space="preserve"> </w:t>
      </w:r>
      <w:r>
        <w:rPr>
          <w:b/>
          <w:bCs/>
        </w:rPr>
        <w:t>Emitent, …………….</w:t>
      </w:r>
      <w:r>
        <w:rPr/>
        <w:t xml:space="preserve"> </w:t>
      </w:r>
      <w:r>
        <w:rPr>
          <w:i/>
          <w:iCs/>
        </w:rPr>
        <w:t>(nume, funcție, semnături autorizate)</w:t>
      </w:r>
      <w:bookmarkEnd w:id="0"/>
    </w:p>
    <w:sectPr>
      <w:type w:val="nextPage"/>
      <w:pgSz w:w="11906" w:h="16838"/>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swiss"/>
    <w:pitch w:val="default"/>
  </w:font>
  <w:font w:name="Aptos Display">
    <w:charset w:val="01"/>
    <w:family w:val="swiss"/>
    <w:pitch w:val="default"/>
  </w:font>
  <w:font w:name="Consolas">
    <w:charset w:val="01"/>
    <w:family w:val="swiss"/>
    <w:pitch w:val="default"/>
  </w:font>
  <w:font w:name="Liberation Sans">
    <w:altName w:val="Arial"/>
    <w:charset w:val="01"/>
    <w:family w:val="swiss"/>
    <w:pitch w:val="variable"/>
  </w:font>
  <w:font w:name="Arial">
    <w:charset w:val="01"/>
    <w:family w:val="swiss"/>
    <w:pitch w:val="default"/>
  </w:font>
  <w:font w:name="Calibri">
    <w:charset w:val="01"/>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00"/>
  <w:embedSystemFonts/>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 w:cs="" w:asciiTheme="minorHAnsi" w:cstheme="minorBidi" w:eastAsiaTheme="minorEastAsia" w:hAnsiTheme="minorHAnsi"/>
        <w:sz w:val="24"/>
        <w:szCs w:val="24"/>
        <w:lang w:val="en-US" w:eastAsia="zh-CN" w:bidi="ar-SA"/>
      </w:rPr>
    </w:rPrDefault>
    <w:pPrDefault>
      <w:pPr>
        <w:suppressAutoHyphens w:val="true"/>
      </w:pPr>
    </w:pPrDefault>
  </w:docDefaults>
  <w:latentStyles w:defLockedState="0" w:defUIPriority="0" w:defSemiHidden="0" w:defUnhideWhenUsed="0" w:defQFormat="0" w:count="276"/>
  <w:style w:type="paragraph" w:styleId="Normal" w:default="1">
    <w:name w:val="Normal"/>
    <w:qFormat/>
    <w:pPr>
      <w:widowControl/>
      <w:bidi w:val="0"/>
      <w:spacing w:before="0" w:after="200"/>
      <w:jc w:val="left"/>
    </w:pPr>
    <w:rPr>
      <w:rFonts w:ascii="Aptos" w:hAnsi="Aptos" w:eastAsia="" w:cs="" w:asciiTheme="minorHAnsi" w:cstheme="minorBidi" w:eastAsiaTheme="minorEastAsia" w:hAnsiTheme="minorHAnsi"/>
      <w:color w:val="auto"/>
      <w:kern w:val="0"/>
      <w:sz w:val="24"/>
      <w:szCs w:val="24"/>
      <w:lang w:val="en-US" w:eastAsia="zh-CN" w:bidi="ar-SA"/>
    </w:rPr>
  </w:style>
  <w:style w:type="paragraph" w:styleId="Heading1">
    <w:name w:val="heading 1"/>
    <w:basedOn w:val="Normal"/>
    <w:next w:val="BodyText"/>
    <w:link w:val="Heading1Char"/>
    <w:uiPriority w:val="9"/>
    <w:qFormat/>
    <w:rsid w:val="00a10fd9"/>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BodyText"/>
    <w:link w:val="Heading2Char"/>
    <w:uiPriority w:val="9"/>
    <w:semiHidden/>
    <w:unhideWhenUsed/>
    <w:qFormat/>
    <w:rsid w:val="00a10fd9"/>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BodyText"/>
    <w:link w:val="Heading3Char"/>
    <w:uiPriority w:val="9"/>
    <w:semiHidden/>
    <w:unhideWhenUsed/>
    <w:qFormat/>
    <w:rsid w:val="00a10fd9"/>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BodyText"/>
    <w:link w:val="Heading4Char"/>
    <w:uiPriority w:val="9"/>
    <w:semiHidden/>
    <w:unhideWhenUsed/>
    <w:qFormat/>
    <w:rsid w:val="00a10fd9"/>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BodyText"/>
    <w:link w:val="Heading5Char"/>
    <w:uiPriority w:val="9"/>
    <w:semiHidden/>
    <w:unhideWhenUsed/>
    <w:qFormat/>
    <w:rsid w:val="00a10fd9"/>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BodyText"/>
    <w:link w:val="Heading6Char"/>
    <w:uiPriority w:val="9"/>
    <w:semiHidden/>
    <w:unhideWhenUsed/>
    <w:qFormat/>
    <w:rsid w:val="00a10fd9"/>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BodyText"/>
    <w:link w:val="Heading7Char"/>
    <w:uiPriority w:val="9"/>
    <w:semiHidden/>
    <w:unhideWhenUsed/>
    <w:qFormat/>
    <w:rsid w:val="00a10fd9"/>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BodyText"/>
    <w:link w:val="Heading8Char"/>
    <w:uiPriority w:val="9"/>
    <w:semiHidden/>
    <w:unhideWhenUsed/>
    <w:qFormat/>
    <w:rsid w:val="00a10fd9"/>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BodyText"/>
    <w:link w:val="Heading9Char"/>
    <w:uiPriority w:val="9"/>
    <w:semiHidden/>
    <w:unhideWhenUsed/>
    <w:qFormat/>
    <w:rsid w:val="00a10fd9"/>
    <w:pPr>
      <w:keepNext w:val="true"/>
      <w:keepLines/>
      <w:spacing w:before="0" w:after="0"/>
      <w:outlineLvl w:val="8"/>
    </w:pPr>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a10fd9"/>
    <w:rPr>
      <w:rFonts w:ascii="Aptos Display" w:hAnsi="Aptos Display" w:eastAsia="" w:cs="" w:asciiTheme="majorHAnsi" w:cstheme="majorBidi" w:eastAsiaTheme="majorEastAsia" w:hAnsiTheme="majorHAnsi"/>
      <w:sz w:val="56"/>
      <w:szCs w:val="56"/>
    </w:rPr>
  </w:style>
  <w:style w:type="character" w:styleId="SubtitleChar" w:customStyle="1">
    <w:name w:val="Subtitle Char"/>
    <w:basedOn w:val="DefaultParagraphFont"/>
    <w:link w:val="Subtitle"/>
    <w:uiPriority w:val="11"/>
    <w:qFormat/>
    <w:rsid w:val="00a10fd9"/>
    <w:rPr>
      <w:rFonts w:eastAsia="" w:cs="" w:cstheme="majorBidi" w:eastAsiaTheme="majorEastAsia"/>
      <w:color w:themeColor="text1" w:themeTint="a6" w:val="595959"/>
      <w:spacing w:val="15"/>
      <w:sz w:val="28"/>
      <w:szCs w:val="28"/>
    </w:rPr>
  </w:style>
  <w:style w:type="character" w:styleId="Heading1Char" w:customStyle="1">
    <w:name w:val="Heading 1 Char"/>
    <w:basedOn w:val="DefaultParagraphFont"/>
    <w:link w:val="Heading1"/>
    <w:uiPriority w:val="9"/>
    <w:qFormat/>
    <w:rsid w:val="00a10fd9"/>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a10fd9"/>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a10fd9"/>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a10fd9"/>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a10fd9"/>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a10fd9"/>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a10fd9"/>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a10fd9"/>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a10fd9"/>
    <w:rPr>
      <w:rFonts w:eastAsia="" w:cs="" w:cstheme="majorBidi" w:eastAsiaTheme="majorEastAsia"/>
      <w:color w:themeColor="text1" w:themeTint="d8" w:val="272727"/>
    </w:rPr>
  </w:style>
  <w:style w:type="character" w:styleId="DefaultParagraphFont" w:default="1">
    <w:name w:val="Default Paragraph Font"/>
    <w:semiHidden/>
    <w:unhideWhenUsed/>
    <w:qFormat/>
    <w:rPr/>
  </w:style>
  <w:style w:type="character" w:styleId="BodyTextChar" w:customStyle="1">
    <w:name w:val="Body Text Char"/>
    <w:basedOn w:val="DefaultParagraphFont"/>
    <w:qFormat/>
    <w:rPr/>
  </w:style>
  <w:style w:type="character" w:styleId="VerbatimChar" w:customStyle="1">
    <w:name w:val="Verbatim Char"/>
    <w:basedOn w:val="BodyTextChar"/>
    <w:qFormat/>
    <w:rPr>
      <w:rFonts w:ascii="Consolas" w:hAnsi="Consolas"/>
      <w:sz w:val="22"/>
    </w:rPr>
  </w:style>
  <w:style w:type="character" w:styleId="SectionNumber" w:customStyle="1">
    <w:name w:val="Section Number"/>
    <w:basedOn w:val="BodyTextChar"/>
    <w:qFormat/>
    <w:rPr/>
  </w:style>
  <w:style w:type="character" w:styleId="FootnoteCharacters">
    <w:name w:val="Footnote Characters"/>
    <w:basedOn w:val="BodyTextChar"/>
    <w:qFormat/>
    <w:rPr>
      <w:vertAlign w:val="superscript"/>
    </w:rPr>
  </w:style>
  <w:style w:type="character" w:styleId="FootnoteReference">
    <w:name w:val="footnote reference"/>
    <w:rPr>
      <w:vertAlign w:val="superscript"/>
    </w:rPr>
  </w:style>
  <w:style w:type="character" w:styleId="Hyperlink">
    <w:name w:val="Hyperlink"/>
    <w:basedOn w:val="BodyTextChar"/>
    <w:rPr>
      <w:color w:themeColor="accent1" w:val="4F81BD"/>
    </w:rPr>
  </w:style>
  <w:style w:type="character" w:styleId="KeywordTok" w:customStyle="1">
    <w:name w:val="KeywordTok"/>
    <w:basedOn w:val="VerbatimChar"/>
    <w:qFormat/>
    <w:rPr>
      <w:b/>
      <w:color w:val="007020"/>
    </w:rPr>
  </w:style>
  <w:style w:type="character" w:styleId="DataTypeTok" w:customStyle="1">
    <w:name w:val="DataTypeTok"/>
    <w:basedOn w:val="VerbatimChar"/>
    <w:qFormat/>
    <w:rPr>
      <w:color w:val="902000"/>
    </w:rPr>
  </w:style>
  <w:style w:type="character" w:styleId="DecValTok" w:customStyle="1">
    <w:name w:val="DecValTok"/>
    <w:basedOn w:val="VerbatimChar"/>
    <w:qFormat/>
    <w:rPr>
      <w:color w:val="40A070"/>
    </w:rPr>
  </w:style>
  <w:style w:type="character" w:styleId="BaseNTok" w:customStyle="1">
    <w:name w:val="BaseNTok"/>
    <w:basedOn w:val="VerbatimChar"/>
    <w:qFormat/>
    <w:rPr>
      <w:color w:val="40A070"/>
    </w:rPr>
  </w:style>
  <w:style w:type="character" w:styleId="FloatTok" w:customStyle="1">
    <w:name w:val="FloatTok"/>
    <w:basedOn w:val="VerbatimChar"/>
    <w:qFormat/>
    <w:rPr>
      <w:color w:val="40A070"/>
    </w:rPr>
  </w:style>
  <w:style w:type="character" w:styleId="ConstantTok" w:customStyle="1">
    <w:name w:val="ConstantTok"/>
    <w:basedOn w:val="VerbatimChar"/>
    <w:qFormat/>
    <w:rPr>
      <w:color w:val="880000"/>
    </w:rPr>
  </w:style>
  <w:style w:type="character" w:styleId="CharTok" w:customStyle="1">
    <w:name w:val="CharTok"/>
    <w:basedOn w:val="VerbatimChar"/>
    <w:qFormat/>
    <w:rPr>
      <w:color w:val="4070A0"/>
    </w:rPr>
  </w:style>
  <w:style w:type="character" w:styleId="SpecialCharTok" w:customStyle="1">
    <w:name w:val="SpecialCharTok"/>
    <w:basedOn w:val="VerbatimChar"/>
    <w:qFormat/>
    <w:rPr>
      <w:color w:val="4070A0"/>
    </w:rPr>
  </w:style>
  <w:style w:type="character" w:styleId="StringTok" w:customStyle="1">
    <w:name w:val="StringTok"/>
    <w:basedOn w:val="VerbatimChar"/>
    <w:qFormat/>
    <w:rPr>
      <w:color w:val="4070A0"/>
    </w:rPr>
  </w:style>
  <w:style w:type="character" w:styleId="VerbatimStringTok" w:customStyle="1">
    <w:name w:val="VerbatimStringTok"/>
    <w:basedOn w:val="VerbatimChar"/>
    <w:qFormat/>
    <w:rPr>
      <w:color w:val="4070A0"/>
    </w:rPr>
  </w:style>
  <w:style w:type="character" w:styleId="SpecialStringTok" w:customStyle="1">
    <w:name w:val="SpecialStringTok"/>
    <w:basedOn w:val="VerbatimChar"/>
    <w:qFormat/>
    <w:rPr>
      <w:color w:val="BB6688"/>
    </w:rPr>
  </w:style>
  <w:style w:type="character" w:styleId="ImportTok" w:customStyle="1">
    <w:name w:val="ImportTok"/>
    <w:basedOn w:val="VerbatimChar"/>
    <w:qFormat/>
    <w:rPr>
      <w:b/>
      <w:color w:val="008000"/>
    </w:rPr>
  </w:style>
  <w:style w:type="character" w:styleId="CommentTok" w:customStyle="1">
    <w:name w:val="CommentTok"/>
    <w:basedOn w:val="VerbatimChar"/>
    <w:qFormat/>
    <w:rPr>
      <w:i/>
      <w:color w:val="60A0B0"/>
    </w:rPr>
  </w:style>
  <w:style w:type="character" w:styleId="DocumentationTok" w:customStyle="1">
    <w:name w:val="DocumentationTok"/>
    <w:basedOn w:val="VerbatimChar"/>
    <w:qFormat/>
    <w:rPr>
      <w:i/>
      <w:color w:val="BA2121"/>
    </w:rPr>
  </w:style>
  <w:style w:type="character" w:styleId="AnnotationTok" w:customStyle="1">
    <w:name w:val="AnnotationTok"/>
    <w:basedOn w:val="VerbatimChar"/>
    <w:qFormat/>
    <w:rPr>
      <w:b/>
      <w:i/>
      <w:color w:val="60A0B0"/>
    </w:rPr>
  </w:style>
  <w:style w:type="character" w:styleId="CommentVarTok" w:customStyle="1">
    <w:name w:val="CommentVarTok"/>
    <w:basedOn w:val="VerbatimChar"/>
    <w:qFormat/>
    <w:rPr>
      <w:b/>
      <w:i/>
      <w:color w:val="60A0B0"/>
    </w:rPr>
  </w:style>
  <w:style w:type="character" w:styleId="OtherTok" w:customStyle="1">
    <w:name w:val="OtherTok"/>
    <w:basedOn w:val="VerbatimChar"/>
    <w:qFormat/>
    <w:rPr>
      <w:color w:val="007020"/>
    </w:rPr>
  </w:style>
  <w:style w:type="character" w:styleId="FunctionTok" w:customStyle="1">
    <w:name w:val="FunctionTok"/>
    <w:basedOn w:val="VerbatimChar"/>
    <w:qFormat/>
    <w:rPr>
      <w:color w:val="06287E"/>
    </w:rPr>
  </w:style>
  <w:style w:type="character" w:styleId="VariableTok" w:customStyle="1">
    <w:name w:val="VariableTok"/>
    <w:basedOn w:val="VerbatimChar"/>
    <w:qFormat/>
    <w:rPr>
      <w:color w:val="19177C"/>
    </w:rPr>
  </w:style>
  <w:style w:type="character" w:styleId="ControlFlowTok" w:customStyle="1">
    <w:name w:val="ControlFlowTok"/>
    <w:basedOn w:val="VerbatimChar"/>
    <w:qFormat/>
    <w:rPr>
      <w:b/>
      <w:color w:val="007020"/>
    </w:rPr>
  </w:style>
  <w:style w:type="character" w:styleId="OperatorTok" w:customStyle="1">
    <w:name w:val="OperatorTok"/>
    <w:basedOn w:val="VerbatimChar"/>
    <w:qFormat/>
    <w:rPr>
      <w:color w:val="666666"/>
    </w:rPr>
  </w:style>
  <w:style w:type="character" w:styleId="BuiltInTok" w:customStyle="1">
    <w:name w:val="BuiltInTok"/>
    <w:basedOn w:val="VerbatimChar"/>
    <w:qFormat/>
    <w:rPr>
      <w:color w:val="008000"/>
    </w:rPr>
  </w:style>
  <w:style w:type="character" w:styleId="ExtensionTok" w:customStyle="1">
    <w:name w:val="ExtensionTok"/>
    <w:basedOn w:val="VerbatimChar"/>
    <w:qFormat/>
    <w:rPr/>
  </w:style>
  <w:style w:type="character" w:styleId="PreprocessorTok" w:customStyle="1">
    <w:name w:val="PreprocessorTok"/>
    <w:basedOn w:val="VerbatimChar"/>
    <w:qFormat/>
    <w:rPr>
      <w:color w:val="BC7A00"/>
    </w:rPr>
  </w:style>
  <w:style w:type="character" w:styleId="AttributeTok" w:customStyle="1">
    <w:name w:val="AttributeTok"/>
    <w:basedOn w:val="VerbatimChar"/>
    <w:qFormat/>
    <w:rPr>
      <w:color w:val="7D9029"/>
    </w:rPr>
  </w:style>
  <w:style w:type="character" w:styleId="RegionMarkerTok" w:customStyle="1">
    <w:name w:val="RegionMarkerTok"/>
    <w:basedOn w:val="VerbatimChar"/>
    <w:qFormat/>
    <w:rPr/>
  </w:style>
  <w:style w:type="character" w:styleId="InformationTok" w:customStyle="1">
    <w:name w:val="InformationTok"/>
    <w:basedOn w:val="VerbatimChar"/>
    <w:qFormat/>
    <w:rPr>
      <w:b/>
      <w:i/>
      <w:color w:val="60A0B0"/>
    </w:rPr>
  </w:style>
  <w:style w:type="character" w:styleId="WarningTok" w:customStyle="1">
    <w:name w:val="WarningTok"/>
    <w:basedOn w:val="VerbatimChar"/>
    <w:qFormat/>
    <w:rPr>
      <w:b/>
      <w:i/>
      <w:color w:val="60A0B0"/>
    </w:rPr>
  </w:style>
  <w:style w:type="character" w:styleId="AlertTok" w:customStyle="1">
    <w:name w:val="AlertTok"/>
    <w:basedOn w:val="VerbatimChar"/>
    <w:qFormat/>
    <w:rPr>
      <w:b/>
      <w:color w:val="FF0000"/>
    </w:rPr>
  </w:style>
  <w:style w:type="character" w:styleId="ErrorTok" w:customStyle="1">
    <w:name w:val="ErrorTok"/>
    <w:basedOn w:val="VerbatimChar"/>
    <w:qFormat/>
    <w:rPr>
      <w:b/>
      <w:color w:val="FF0000"/>
    </w:rPr>
  </w:style>
  <w:style w:type="character" w:styleId="NormalTok" w:customStyle="1">
    <w:name w:val="NormalTok"/>
    <w:basedOn w:val="VerbatimChar"/>
    <w:qFormat/>
    <w:rPr/>
  </w:style>
  <w:style w:type="paragraph" w:styleId="Heading">
    <w:name w:val="Heading"/>
    <w:basedOn w:val="Normal"/>
    <w:next w:val="BodyText"/>
    <w:qFormat/>
    <w:pPr>
      <w:keepNext w:val="true"/>
      <w:spacing w:before="240" w:after="120"/>
    </w:pPr>
    <w:rPr>
      <w:rFonts w:ascii="Liberation Sans" w:hAnsi="Liberation Sans" w:eastAsia="Noto Sans" w:cs="Roboto"/>
      <w:sz w:val="28"/>
      <w:szCs w:val="28"/>
    </w:rPr>
  </w:style>
  <w:style w:type="paragraph" w:styleId="BodyText">
    <w:name w:val="Body Text"/>
    <w:basedOn w:val="Normal"/>
    <w:link w:val="BodyTextChar"/>
    <w:qFormat/>
    <w:pPr>
      <w:spacing w:before="180" w:after="180"/>
    </w:pPr>
    <w:rPr/>
  </w:style>
  <w:style w:type="paragraph" w:styleId="List">
    <w:name w:val="List"/>
    <w:basedOn w:val="BodyText"/>
    <w:pPr/>
    <w:rPr>
      <w:rFonts w:ascii="Arial" w:hAnsi="Arial" w:cs="Roboto"/>
    </w:rPr>
  </w:style>
  <w:style w:type="paragraph" w:styleId="Caption">
    <w:name w:val="caption"/>
    <w:basedOn w:val="Normal"/>
    <w:link w:val="BodyTextChar"/>
    <w:qFormat/>
    <w:pPr>
      <w:spacing w:before="0" w:after="120"/>
    </w:pPr>
    <w:rPr>
      <w:i/>
    </w:rPr>
  </w:style>
  <w:style w:type="paragraph" w:styleId="Index">
    <w:name w:val="Index"/>
    <w:basedOn w:val="Normal"/>
    <w:qFormat/>
    <w:pPr>
      <w:suppressLineNumbers/>
    </w:pPr>
    <w:rPr>
      <w:rFonts w:ascii="Calibri" w:hAnsi="Calibri" w:cs="Roboto"/>
    </w:rPr>
  </w:style>
  <w:style w:type="paragraph" w:styleId="FirstParagraph" w:customStyle="1">
    <w:name w:val="First Paragraph"/>
    <w:basedOn w:val="BodyText"/>
    <w:next w:val="BodyText"/>
    <w:qFormat/>
    <w:pPr/>
    <w:rPr/>
  </w:style>
  <w:style w:type="paragraph" w:styleId="Compact" w:customStyle="1">
    <w:name w:val="Compact"/>
    <w:basedOn w:val="BodyText"/>
    <w:qFormat/>
    <w:pPr>
      <w:spacing w:before="36" w:after="36"/>
    </w:pPr>
    <w:rPr/>
  </w:style>
  <w:style w:type="paragraph" w:styleId="Title">
    <w:name w:val="Title"/>
    <w:basedOn w:val="Normal"/>
    <w:next w:val="BodyText"/>
    <w:link w:val="TitleChar"/>
    <w:uiPriority w:val="10"/>
    <w:qFormat/>
    <w:rsid w:val="00a10fd9"/>
    <w:pPr>
      <w:spacing w:lineRule="auto" w:line="240" w:before="0" w:after="80"/>
      <w:contextualSpacing/>
      <w:jc w:val="center"/>
    </w:pPr>
    <w:rPr>
      <w:rFonts w:ascii="Aptos Display" w:hAnsi="Aptos Display" w:eastAsia="" w:cs="" w:asciiTheme="majorHAnsi" w:cstheme="majorBidi" w:eastAsiaTheme="majorEastAsia" w:hAnsiTheme="majorHAnsi"/>
      <w:sz w:val="56"/>
      <w:szCs w:val="56"/>
    </w:rPr>
  </w:style>
  <w:style w:type="paragraph" w:styleId="Subtitle">
    <w:name w:val="Subtitle"/>
    <w:basedOn w:val="Title"/>
    <w:next w:val="BodyText"/>
    <w:link w:val="SubtitleChar"/>
    <w:uiPriority w:val="11"/>
    <w:qFormat/>
    <w:rsid w:val="00a10fd9"/>
    <w:pPr/>
    <w:rPr>
      <w:rFonts w:eastAsia="" w:cs="" w:cstheme="majorBidi" w:eastAsiaTheme="majorEastAsia"/>
      <w:spacing w:val="15"/>
      <w:sz w:val="28"/>
      <w:szCs w:val="28"/>
    </w:rPr>
  </w:style>
  <w:style w:type="paragraph" w:styleId="Author" w:customStyle="1">
    <w:name w:val="Author"/>
    <w:basedOn w:val="Title"/>
    <w:next w:val="BodyText"/>
    <w:qFormat/>
    <w:pPr>
      <w:keepNext w:val="true"/>
      <w:keepLines/>
    </w:pPr>
    <w:rPr>
      <w:sz w:val="24"/>
      <w:szCs w:val="24"/>
    </w:rPr>
  </w:style>
  <w:style w:type="paragraph" w:styleId="Date">
    <w:name w:val="Date"/>
    <w:basedOn w:val="Title"/>
    <w:next w:val="BodyText"/>
    <w:qFormat/>
    <w:pPr>
      <w:keepNext w:val="true"/>
      <w:keepLines/>
    </w:pPr>
    <w:rPr>
      <w:sz w:val="24"/>
      <w:szCs w:val="24"/>
    </w:rPr>
  </w:style>
  <w:style w:type="paragraph" w:styleId="AbstractTitle" w:customStyle="1">
    <w:name w:val="Abstract Title"/>
    <w:basedOn w:val="Normal"/>
    <w:next w:val="Abstract"/>
    <w:qFormat/>
    <w:pPr>
      <w:keepNext w:val="true"/>
      <w:keepLines/>
      <w:spacing w:before="300" w:after="0"/>
      <w:jc w:val="center"/>
    </w:pPr>
    <w:rPr>
      <w:b/>
      <w:sz w:val="20"/>
      <w:szCs w:val="20"/>
    </w:rPr>
  </w:style>
  <w:style w:type="paragraph" w:styleId="Abstract" w:customStyle="1">
    <w:name w:val="Abstract"/>
    <w:basedOn w:val="Normal"/>
    <w:next w:val="BodyText"/>
    <w:qFormat/>
    <w:pPr>
      <w:keepNext w:val="true"/>
      <w:keepLines/>
      <w:spacing w:before="100" w:after="300"/>
    </w:pPr>
    <w:rPr>
      <w:sz w:val="20"/>
      <w:szCs w:val="20"/>
    </w:rPr>
  </w:style>
  <w:style w:type="paragraph" w:styleId="Bibliography">
    <w:name w:val="Bibliography"/>
    <w:basedOn w:val="Normal"/>
    <w:qFormat/>
    <w:pPr/>
    <w:rPr/>
  </w:style>
  <w:style w:type="paragraph" w:styleId="BlockText">
    <w:name w:val="Block Text"/>
    <w:basedOn w:val="BodyText"/>
    <w:next w:val="BodyText"/>
    <w:uiPriority w:val="9"/>
    <w:unhideWhenUsed/>
    <w:qFormat/>
    <w:pPr>
      <w:spacing w:before="100" w:after="100"/>
      <w:ind w:hanging="0" w:left="480" w:right="480"/>
    </w:pPr>
    <w:rPr/>
  </w:style>
  <w:style w:type="paragraph" w:styleId="FootnoteText">
    <w:name w:val="footnote text"/>
    <w:basedOn w:val="Normal"/>
    <w:uiPriority w:val="9"/>
    <w:unhideWhenUsed/>
    <w:qFormat/>
    <w:pPr/>
    <w:rPr/>
  </w:style>
  <w:style w:type="paragraph" w:styleId="FootnoteBlockText">
    <w:name w:val="Footnote Block Text"/>
    <w:basedOn w:val="FootnoteText"/>
    <w:next w:val="FootnoteText"/>
    <w:uiPriority w:val="9"/>
    <w:unhideWhenUsed/>
    <w:qFormat/>
    <w:pPr>
      <w:spacing w:before="100" w:after="100"/>
      <w:ind w:hanging="0" w:left="480" w:right="480"/>
    </w:pPr>
    <w:rPr/>
  </w:style>
  <w:style w:type="paragraph" w:styleId="DefinitionTerm" w:customStyle="1">
    <w:name w:val="Definition Term"/>
    <w:basedOn w:val="Normal"/>
    <w:next w:val="Definition"/>
    <w:qFormat/>
    <w:pPr>
      <w:keepNext w:val="true"/>
      <w:keepLines/>
      <w:spacing w:before="0" w:after="0"/>
    </w:pPr>
    <w:rPr>
      <w:b/>
    </w:rPr>
  </w:style>
  <w:style w:type="paragraph" w:styleId="Definition" w:customStyle="1">
    <w:name w:val="Definition"/>
    <w:basedOn w:val="Normal"/>
    <w:qFormat/>
    <w:pPr/>
    <w:rPr/>
  </w:style>
  <w:style w:type="paragraph" w:styleId="TableCaption" w:customStyle="1">
    <w:name w:val="Table Caption"/>
    <w:basedOn w:val="Caption"/>
    <w:qFormat/>
    <w:pPr>
      <w:keepNext w:val="true"/>
    </w:pPr>
    <w:rPr/>
  </w:style>
  <w:style w:type="paragraph" w:styleId="ImageCaption" w:customStyle="1">
    <w:name w:val="Image Caption"/>
    <w:basedOn w:val="Caption"/>
    <w:qFormat/>
    <w:pPr/>
    <w:rPr/>
  </w:style>
  <w:style w:type="paragraph" w:styleId="Figure" w:customStyle="1">
    <w:name w:val="Figure"/>
    <w:basedOn w:val="Normal"/>
    <w:qFormat/>
    <w:pPr/>
    <w:rPr/>
  </w:style>
  <w:style w:type="paragraph" w:styleId="CaptionedFigure" w:customStyle="1">
    <w:name w:val="Captioned Figure"/>
    <w:basedOn w:val="Figure"/>
    <w:qFormat/>
    <w:pPr>
      <w:keepNext w:val="true"/>
    </w:pPr>
    <w:rPr/>
  </w:style>
  <w:style w:type="paragraph" w:styleId="IndexHeading">
    <w:name w:val="index heading"/>
    <w:basedOn w:val="Heading"/>
    <w:pPr/>
    <w:rPr/>
  </w:style>
  <w:style w:type="paragraph" w:styleId="TOCHeading">
    <w:name w:val="TOC Heading"/>
    <w:basedOn w:val="Heading1"/>
    <w:next w:val="BodyText"/>
    <w:uiPriority w:val="39"/>
    <w:unhideWhenUsed/>
    <w:qFormat/>
    <w:pPr>
      <w:spacing w:lineRule="auto" w:line="259" w:before="240" w:after="80"/>
      <w:outlineLvl w:val="9"/>
    </w:pPr>
    <w:rPr>
      <w:rFonts w:ascii="Aptos Display" w:hAnsi="Aptos Display" w:eastAsia="" w:cs="" w:asciiTheme="majorHAnsi" w:cstheme="majorBidi" w:eastAsiaTheme="majorEastAsia" w:hAnsiTheme="majorHAnsi"/>
      <w:b w:val="false"/>
      <w:bCs w:val="false"/>
      <w:color w:themeColor="accent1" w:themeShade="bf" w:val="365F91"/>
    </w:rPr>
  </w:style>
  <w:style w:type="paragraph" w:styleId="SourceCode" w:customStyle="1">
    <w:name w:val="Source Code"/>
    <w:basedOn w:val="Normal"/>
    <w:link w:val="VerbatimChar"/>
    <w:qFormat/>
    <w:pPr/>
    <w:rPr/>
  </w:style>
  <w:style w:type="table" w:default="1" w:styleId="Table">
    <w:name w:val="Table"/>
    <w:basedOn w:val="TableNormal"/>
    <w:semiHidden/>
    <w:unhideWhenUsed/>
    <w:qFormat/>
    <w:tblPr>
      <w:tblCellMar>
        <w:top w:w="0" w:type="dxa"/>
        <w:left w:w="108" w:type="dxa"/>
        <w:bottom w:w="0" w:type="dxa"/>
        <w:right w:w="108" w:type="dxa"/>
      </w:tblCellMar>
    </w:tblPr>
    <w:tblStylePr w:type="firstRow">
      <w:tblPr/>
      <w:tcPr>
        <w:tcBorders>
          <w:bottom w:val="single"/>
        </w:tcBorders>
        <w:vAlign w:val="bottom"/>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TotalTime>
  <Application>LibreOffice/26.2.5.2$Linux_X86_64 LibreOffice_project/620$Build-2</Application>
  <AppVersion>15.0000</AppVersion>
  <Pages>2</Pages>
  <Words>542</Words>
  <Characters>3145</Characters>
  <CharactersWithSpaces>3658</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2026-09-15T17:12:04Z</dcterms:created>
  <dc:creator/>
  <dc:description/>
  <dc:language>ro-RO</dc:language>
  <cp:lastModifiedBy/>
  <dcterms:modified xsi:type="dcterms:W3CDTF">2026-09-15T20:18:59Z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