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keepNext w:val="true"/>
        <w:keepLines/>
        <w:spacing w:before="160" w:after="80"/>
        <w:rPr/>
      </w:pPr>
      <w:bookmarkStart w:id="0" w:name="formularul-nr.-1-scrisoare-de-înaintare"/>
      <w:r>
        <w:rPr/>
        <w:t>Formularul nr. 1 — Scrisoare de înaintare</w:t>
      </w:r>
    </w:p>
    <w:p>
      <w:pPr>
        <w:pStyle w:val="FirstParagraph"/>
        <w:rPr/>
      </w:pPr>
      <w:r>
        <w:rPr>
          <w:i/>
          <w:iCs/>
        </w:rPr>
        <w:t>Ofertant: {denumirea, codul de înregistrare fiscală, adresa}</w:t>
      </w:r>
      <w:r>
        <w:rPr/>
        <w:t xml:space="preserve"> </w:t>
      </w:r>
      <w:r>
        <w:rPr>
          <w:i/>
          <w:iCs/>
        </w:rPr>
        <w:t>Nr. înregistrare ofertant: ……… / ………</w:t>
      </w:r>
      <w:r>
        <w:rPr/>
        <w:t xml:space="preserve"> </w:t>
      </w:r>
      <w:r>
        <w:rPr>
          <w:i/>
          <w:iCs/>
        </w:rPr>
        <w:t>Înregistrat la sediul Achizitorului nr. ……… / ………</w:t>
      </w:r>
    </w:p>
    <w:p>
      <w:pPr>
        <w:pStyle w:val="BodyText"/>
        <w:rPr/>
      </w:pPr>
      <w:r>
        <w:rPr/>
        <w:t xml:space="preserve">Către </w:t>
      </w:r>
      <w:r>
        <w:rPr>
          <w:b/>
          <w:bCs/>
        </w:rPr>
        <w:t>S.C. DFG Active Imobiliare S.R.L.</w:t>
      </w:r>
      <w:r>
        <w:rPr/>
        <w:t>, Str. Ion Creanga 7 Et. 6 Ap. 25 Cod 050864, București, sector 5</w:t>
      </w:r>
    </w:p>
    <w:p>
      <w:pPr>
        <w:pStyle w:val="BodyText"/>
        <w:rPr/>
      </w:pPr>
      <w:r>
        <w:rPr/>
        <w:t xml:space="preserve">Ca urmare a anunțului publicat în data de 14.09.2026, în scopul atribuirii Contractului având ca obiect „Pachet la cheie („EPC turn-key”) care cuprinde: proiectare tehnică completă, furnizare sistem de stocare a energiei electrice în baterii (BESS) cu o capacitate de minim 6,00 MWh, construcție, montaj și punere în funcțiune, inclusiv conectarea la CEF Prundeni”, noi, ………………………….. </w:t>
      </w:r>
      <w:r>
        <w:rPr>
          <w:i/>
          <w:iCs/>
        </w:rPr>
        <w:t>(denumirea ofertantului)</w:t>
      </w:r>
      <w:r>
        <w:rPr/>
        <w:t>, vă transmitem alăturat oferta noastră.</w:t>
      </w:r>
    </w:p>
    <w:p>
      <w:pPr>
        <w:pStyle w:val="BodyText"/>
        <w:rPr/>
      </w:pPr>
      <w:r>
        <w:rPr>
          <w:b/>
          <w:bCs/>
        </w:rPr>
        <w:t>Opis al documentelor transmise:</w:t>
      </w:r>
    </w:p>
    <w:tbl>
      <w:tblPr>
        <w:tblStyle w:val="Table"/>
        <w:tblW w:w="49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HBand="0" w:noVBand="0" w:firstColumn="0" w:lastRow="0" w:lastColumn="0" w:firstRow="1" w:val="0020"/>
      </w:tblPr>
      <w:tblGrid>
        <w:gridCol w:w="1494"/>
        <w:gridCol w:w="5856"/>
        <w:gridCol w:w="1495"/>
      </w:tblGrid>
      <w:tr>
        <w:trPr>
          <w:tblHeader w:val="true"/>
        </w:trPr>
        <w:tc>
          <w:tcPr>
            <w:tcW w:w="1494" w:type="dxa"/>
            <w:tcBorders>
              <w:bottom w:val="single" w:sz="6" w:space="0" w:color="000000"/>
            </w:tcBorders>
            <w:vAlign w:val="bottom"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☐</w:t>
            </w:r>
          </w:p>
        </w:tc>
        <w:tc>
          <w:tcPr>
            <w:tcW w:w="5856" w:type="dxa"/>
            <w:tcBorders>
              <w:bottom w:val="single" w:sz="6" w:space="0" w:color="000000"/>
            </w:tcBorders>
            <w:vAlign w:val="bottom"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Document</w:t>
            </w:r>
          </w:p>
        </w:tc>
        <w:tc>
          <w:tcPr>
            <w:tcW w:w="1495" w:type="dxa"/>
            <w:tcBorders>
              <w:bottom w:val="single" w:sz="6" w:space="0" w:color="000000"/>
            </w:tcBorders>
            <w:vAlign w:val="bottom"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Nr. pagini</w:t>
            </w:r>
          </w:p>
        </w:tc>
      </w:tr>
      <w:tr>
        <w:trPr/>
        <w:tc>
          <w:tcPr>
            <w:tcW w:w="1494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☐</w:t>
            </w:r>
          </w:p>
        </w:tc>
        <w:tc>
          <w:tcPr>
            <w:tcW w:w="5856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Formularul nr. 2 — Neîncadrarea în situații care afectează calitatea de participant</w:t>
            </w:r>
          </w:p>
        </w:tc>
        <w:tc>
          <w:tcPr>
            <w:tcW w:w="1495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494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☐</w:t>
            </w:r>
          </w:p>
        </w:tc>
        <w:tc>
          <w:tcPr>
            <w:tcW w:w="5856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Formularul nr. 3 — Evitarea conflictului de interese</w:t>
            </w:r>
          </w:p>
        </w:tc>
        <w:tc>
          <w:tcPr>
            <w:tcW w:w="1495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494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☐</w:t>
            </w:r>
          </w:p>
        </w:tc>
        <w:tc>
          <w:tcPr>
            <w:tcW w:w="5856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Formularul nr. 4 — Calitatea de participant</w:t>
            </w:r>
          </w:p>
        </w:tc>
        <w:tc>
          <w:tcPr>
            <w:tcW w:w="1495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494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☐</w:t>
            </w:r>
          </w:p>
        </w:tc>
        <w:tc>
          <w:tcPr>
            <w:tcW w:w="5856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Formularul nr. 5 — Lista contractelor similare</w:t>
            </w:r>
          </w:p>
        </w:tc>
        <w:tc>
          <w:tcPr>
            <w:tcW w:w="1495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494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☐</w:t>
            </w:r>
          </w:p>
        </w:tc>
        <w:tc>
          <w:tcPr>
            <w:tcW w:w="5856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Formularul nr. 6 — Formular de ofertă, cu Valorile Garantate</w:t>
            </w:r>
          </w:p>
        </w:tc>
        <w:tc>
          <w:tcPr>
            <w:tcW w:w="1495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494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☐</w:t>
            </w:r>
          </w:p>
        </w:tc>
        <w:tc>
          <w:tcPr>
            <w:tcW w:w="5856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Formularul nr. 7 — Anexa la formularul de ofertă</w:t>
            </w:r>
          </w:p>
        </w:tc>
        <w:tc>
          <w:tcPr>
            <w:tcW w:w="1495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494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☐</w:t>
            </w:r>
          </w:p>
        </w:tc>
        <w:tc>
          <w:tcPr>
            <w:tcW w:w="5856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Formularul nr. 8 — Evitarea dublei finanțări</w:t>
            </w:r>
          </w:p>
        </w:tc>
        <w:tc>
          <w:tcPr>
            <w:tcW w:w="1495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494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☐</w:t>
            </w:r>
          </w:p>
        </w:tc>
        <w:tc>
          <w:tcPr>
            <w:tcW w:w="5856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 xml:space="preserve">Formularul nr. 9 — Împuternicire </w:t>
            </w:r>
            <w:r>
              <w:rPr>
                <w:rFonts w:eastAsia="" w:cs=""/>
                <w:i/>
                <w:iCs/>
                <w:kern w:val="0"/>
                <w:sz w:val="24"/>
                <w:szCs w:val="24"/>
                <w:lang w:val="en-US" w:eastAsia="zh-CN" w:bidi="ar-SA"/>
              </w:rPr>
              <w:t>(dacă este cazul)</w:t>
            </w:r>
          </w:p>
        </w:tc>
        <w:tc>
          <w:tcPr>
            <w:tcW w:w="1495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494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☐</w:t>
            </w:r>
          </w:p>
        </w:tc>
        <w:tc>
          <w:tcPr>
            <w:tcW w:w="5856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Formularul nr. 10 — Acord fără rezerve cu modelul de contract</w:t>
            </w:r>
          </w:p>
        </w:tc>
        <w:tc>
          <w:tcPr>
            <w:tcW w:w="1495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494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☐</w:t>
            </w:r>
          </w:p>
        </w:tc>
        <w:tc>
          <w:tcPr>
            <w:tcW w:w="5856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Formularul nr. 13 — Originea și conformitatea cu măsurile restrictive</w:t>
            </w:r>
          </w:p>
        </w:tc>
        <w:tc>
          <w:tcPr>
            <w:tcW w:w="1495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494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☐</w:t>
            </w:r>
          </w:p>
        </w:tc>
        <w:tc>
          <w:tcPr>
            <w:tcW w:w="5856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 xml:space="preserve">Formularul nr. 14, foaia „Ofertă” — graficul de execuție </w:t>
            </w:r>
            <w:r>
              <w:rPr>
                <w:rFonts w:eastAsia="" w:cs=""/>
                <w:i/>
                <w:iCs/>
                <w:kern w:val="0"/>
                <w:sz w:val="24"/>
                <w:szCs w:val="24"/>
                <w:lang w:val="en-US" w:eastAsia="zh-CN" w:bidi="ar-SA"/>
              </w:rPr>
              <w:t>(opțional, recomandat, §3.4.3)</w:t>
            </w:r>
          </w:p>
        </w:tc>
        <w:tc>
          <w:tcPr>
            <w:tcW w:w="1495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494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☐</w:t>
            </w:r>
          </w:p>
        </w:tc>
        <w:tc>
          <w:tcPr>
            <w:tcW w:w="5856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Declarație privind instrumentele de garantare alese (§5.2 poz. 10a)</w:t>
            </w:r>
          </w:p>
        </w:tc>
        <w:tc>
          <w:tcPr>
            <w:tcW w:w="1495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494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☐</w:t>
            </w:r>
          </w:p>
        </w:tc>
        <w:tc>
          <w:tcPr>
            <w:tcW w:w="5856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b/>
                <w:bCs/>
                <w:kern w:val="0"/>
                <w:sz w:val="24"/>
                <w:szCs w:val="24"/>
                <w:lang w:val="en-US" w:eastAsia="zh-CN" w:bidi="ar-SA"/>
              </w:rPr>
              <w:t>Declarația producătorului celulei privind anvelopa de garanție (§3.3 lit. E17)</w:t>
            </w:r>
          </w:p>
        </w:tc>
        <w:tc>
          <w:tcPr>
            <w:tcW w:w="1495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494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☐</w:t>
            </w:r>
          </w:p>
        </w:tc>
        <w:tc>
          <w:tcPr>
            <w:tcW w:w="5856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Certificat constatator ONRC sau echivalent</w:t>
            </w:r>
          </w:p>
        </w:tc>
        <w:tc>
          <w:tcPr>
            <w:tcW w:w="1495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494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☐</w:t>
            </w:r>
          </w:p>
        </w:tc>
        <w:tc>
          <w:tcPr>
            <w:tcW w:w="5856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Date privind beneficiarul real</w:t>
            </w:r>
          </w:p>
        </w:tc>
        <w:tc>
          <w:tcPr>
            <w:tcW w:w="1495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494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☐</w:t>
            </w:r>
          </w:p>
        </w:tc>
        <w:tc>
          <w:tcPr>
            <w:tcW w:w="5856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Atestate ANRE și documente de personal</w:t>
            </w:r>
          </w:p>
        </w:tc>
        <w:tc>
          <w:tcPr>
            <w:tcW w:w="1495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494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☐</w:t>
            </w:r>
          </w:p>
        </w:tc>
        <w:tc>
          <w:tcPr>
            <w:tcW w:w="5856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Propunerea tehnică, inclusiv matricea de conformitate</w:t>
            </w:r>
          </w:p>
        </w:tc>
        <w:tc>
          <w:tcPr>
            <w:tcW w:w="1495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494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☐</w:t>
            </w:r>
          </w:p>
        </w:tc>
        <w:tc>
          <w:tcPr>
            <w:tcW w:w="5856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Propunerea financiară</w:t>
            </w:r>
          </w:p>
        </w:tc>
        <w:tc>
          <w:tcPr>
            <w:tcW w:w="1495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494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5856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b/>
                <w:bCs/>
                <w:kern w:val="0"/>
                <w:sz w:val="24"/>
                <w:szCs w:val="24"/>
                <w:lang w:val="en-US" w:eastAsia="zh-CN" w:bidi="ar-SA"/>
              </w:rPr>
              <w:t>TOTAL</w:t>
            </w:r>
          </w:p>
        </w:tc>
        <w:tc>
          <w:tcPr>
            <w:tcW w:w="1495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</w:r>
          </w:p>
        </w:tc>
      </w:tr>
    </w:tbl>
    <w:p>
      <w:pPr>
        <w:pStyle w:val="BodyText"/>
        <w:spacing w:before="180" w:after="180"/>
        <w:rPr/>
      </w:pPr>
      <w:r>
        <w:rPr/>
        <w:t xml:space="preserve">Data completării: ……………… Ofertant, </w:t>
      </w:r>
      <w:r>
        <w:rPr>
          <w:i/>
          <w:iCs/>
        </w:rPr>
        <w:t>(semnătură electronică calificată)</w:t>
      </w:r>
      <w:bookmarkEnd w:id="0"/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swiss"/>
    <w:pitch w:val="default"/>
  </w:font>
  <w:font w:name="Aptos Display">
    <w:charset w:val="01"/>
    <w:family w:val="swiss"/>
    <w:pitch w:val="default"/>
  </w:font>
  <w:font w:name="Consolas">
    <w:charset w:val="01"/>
    <w:family w:val="swiss"/>
    <w:pitch w:val="default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default"/>
  </w:font>
  <w:font w:name="Calibri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hyphenationZone w:val="0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" w:cs="" w:asciiTheme="minorHAnsi" w:cstheme="minorBidi" w:eastAsiaTheme="minorEastAsia" w:hAnsiTheme="minorHAnsi"/>
        <w:sz w:val="24"/>
        <w:szCs w:val="24"/>
        <w:lang w:val="en-US" w:eastAsia="zh-CN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76"/>
  <w:style w:type="paragraph" w:styleId="Normal" w:default="1">
    <w:name w:val="Normal"/>
    <w:qFormat/>
    <w:pPr>
      <w:widowControl/>
      <w:bidi w:val="0"/>
      <w:spacing w:before="0" w:after="200"/>
      <w:jc w:val="left"/>
    </w:pPr>
    <w:rPr>
      <w:rFonts w:ascii="Aptos" w:hAnsi="Aptos" w:eastAsia="" w:cs="" w:asciiTheme="minorHAnsi" w:cstheme="minorBidi" w:eastAsiaTheme="minorEastAsia" w:hAnsiTheme="minorHAnsi"/>
      <w:color w:val="auto"/>
      <w:kern w:val="0"/>
      <w:sz w:val="24"/>
      <w:szCs w:val="24"/>
      <w:lang w:val="en-US" w:eastAsia="zh-CN" w:bidi="ar-SA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TitleChar" w:customStyle="1">
    <w:name w:val="Title Char"/>
    <w:basedOn w:val="DefaultParagraphFont"/>
    <w:link w:val="Title"/>
    <w:uiPriority w:val="10"/>
    <w:qFormat/>
    <w:rsid w:val="00a10fd9"/>
    <w:rPr>
      <w:rFonts w:ascii="Aptos Display" w:hAnsi="Aptos Display" w:eastAsia="" w:cs="" w:asciiTheme="majorHAnsi" w:cstheme="majorBidi" w:eastAsiaTheme="majorEastAsia" w:hAnsiTheme="majorHAnsi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a10fd9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Heading1Char" w:customStyle="1">
    <w:name w:val="Heading 1 Char"/>
    <w:basedOn w:val="DefaultParagraphFont"/>
    <w:link w:val="Heading1"/>
    <w:uiPriority w:val="9"/>
    <w:qFormat/>
    <w:rsid w:val="00a10fd9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a10fd9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a10fd9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a10fd9"/>
    <w:rPr>
      <w:rFonts w:eastAsia="" w:cs="" w:cstheme="majorBidi" w:eastAsiaTheme="majorEastAsia"/>
      <w:i/>
      <w:iCs/>
      <w:color w:themeColor="accent1" w:themeShade="bf" w:val="0F476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a10fd9"/>
    <w:rPr>
      <w:rFonts w:eastAsia="" w:cs="" w:cstheme="majorBidi" w:eastAsiaTheme="majorEastAsia"/>
      <w:color w:themeColor="accent1" w:themeShade="bf" w:val="0F4761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a10fd9"/>
    <w:rPr>
      <w:rFonts w:eastAsia="" w:cs="" w:cstheme="majorBidi" w:eastAsiaTheme="majorEastAsia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a10fd9"/>
    <w:rPr>
      <w:rFonts w:eastAsia="" w:cs="" w:cstheme="majorBidi" w:eastAsiaTheme="majorEastAsia"/>
      <w:color w:themeColor="text1" w:themeTint="a6" w:val="595959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a10fd9"/>
    <w:rPr>
      <w:rFonts w:eastAsia="" w:cs="" w:cstheme="majorBidi" w:eastAsiaTheme="majorEastAsia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a10fd9"/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semiHidden/>
    <w:unhideWhenUsed/>
    <w:qFormat/>
    <w:rPr/>
  </w:style>
  <w:style w:type="character" w:styleId="BodyTextChar" w:customStyle="1">
    <w:name w:val="Body Text Char"/>
    <w:basedOn w:val="DefaultParagraphFont"/>
    <w:qFormat/>
    <w:rPr/>
  </w:style>
  <w:style w:type="character" w:styleId="VerbatimChar" w:customStyle="1">
    <w:name w:val="Verbatim Char"/>
    <w:basedOn w:val="BodyTextChar"/>
    <w:qFormat/>
    <w:rPr>
      <w:rFonts w:ascii="Consolas" w:hAnsi="Consolas"/>
      <w:sz w:val="22"/>
    </w:rPr>
  </w:style>
  <w:style w:type="character" w:styleId="SectionNumber" w:customStyle="1">
    <w:name w:val="Section Number"/>
    <w:basedOn w:val="BodyTextChar"/>
    <w:qFormat/>
    <w:rPr/>
  </w:style>
  <w:style w:type="character" w:styleId="FootnoteCharacters">
    <w:name w:val="Footnote Characters"/>
    <w:basedOn w:val="BodyTextChar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basedOn w:val="BodyTextChar"/>
    <w:rPr>
      <w:color w:themeColor="accent1" w:val="4F81BD"/>
    </w:rPr>
  </w:style>
  <w:style w:type="character" w:styleId="KeywordTok" w:customStyle="1">
    <w:name w:val="KeywordTok"/>
    <w:basedOn w:val="VerbatimChar"/>
    <w:qFormat/>
    <w:rPr>
      <w:b/>
      <w:color w:val="007020"/>
    </w:rPr>
  </w:style>
  <w:style w:type="character" w:styleId="DataTypeTok" w:customStyle="1">
    <w:name w:val="DataTypeTok"/>
    <w:basedOn w:val="VerbatimChar"/>
    <w:qFormat/>
    <w:rPr>
      <w:color w:val="902000"/>
    </w:rPr>
  </w:style>
  <w:style w:type="character" w:styleId="DecValTok" w:customStyle="1">
    <w:name w:val="DecValTok"/>
    <w:basedOn w:val="VerbatimChar"/>
    <w:qFormat/>
    <w:rPr>
      <w:color w:val="40A070"/>
    </w:rPr>
  </w:style>
  <w:style w:type="character" w:styleId="BaseNTok" w:customStyle="1">
    <w:name w:val="BaseNTok"/>
    <w:basedOn w:val="VerbatimChar"/>
    <w:qFormat/>
    <w:rPr>
      <w:color w:val="40A070"/>
    </w:rPr>
  </w:style>
  <w:style w:type="character" w:styleId="FloatTok" w:customStyle="1">
    <w:name w:val="FloatTok"/>
    <w:basedOn w:val="VerbatimChar"/>
    <w:qFormat/>
    <w:rPr>
      <w:color w:val="40A070"/>
    </w:rPr>
  </w:style>
  <w:style w:type="character" w:styleId="ConstantTok" w:customStyle="1">
    <w:name w:val="ConstantTok"/>
    <w:basedOn w:val="VerbatimChar"/>
    <w:qFormat/>
    <w:rPr>
      <w:color w:val="880000"/>
    </w:rPr>
  </w:style>
  <w:style w:type="character" w:styleId="CharTok" w:customStyle="1">
    <w:name w:val="CharTok"/>
    <w:basedOn w:val="VerbatimChar"/>
    <w:qFormat/>
    <w:rPr>
      <w:color w:val="4070A0"/>
    </w:rPr>
  </w:style>
  <w:style w:type="character" w:styleId="SpecialCharTok" w:customStyle="1">
    <w:name w:val="SpecialCharTok"/>
    <w:basedOn w:val="VerbatimChar"/>
    <w:qFormat/>
    <w:rPr>
      <w:color w:val="4070A0"/>
    </w:rPr>
  </w:style>
  <w:style w:type="character" w:styleId="StringTok" w:customStyle="1">
    <w:name w:val="StringTok"/>
    <w:basedOn w:val="VerbatimChar"/>
    <w:qFormat/>
    <w:rPr>
      <w:color w:val="4070A0"/>
    </w:rPr>
  </w:style>
  <w:style w:type="character" w:styleId="VerbatimStringTok" w:customStyle="1">
    <w:name w:val="VerbatimStringTok"/>
    <w:basedOn w:val="VerbatimChar"/>
    <w:qFormat/>
    <w:rPr>
      <w:color w:val="4070A0"/>
    </w:rPr>
  </w:style>
  <w:style w:type="character" w:styleId="SpecialStringTok" w:customStyle="1">
    <w:name w:val="SpecialStringTok"/>
    <w:basedOn w:val="VerbatimChar"/>
    <w:qFormat/>
    <w:rPr>
      <w:color w:val="BB6688"/>
    </w:rPr>
  </w:style>
  <w:style w:type="character" w:styleId="ImportTok" w:customStyle="1">
    <w:name w:val="ImportTok"/>
    <w:basedOn w:val="VerbatimChar"/>
    <w:qFormat/>
    <w:rPr>
      <w:b/>
      <w:color w:val="008000"/>
    </w:rPr>
  </w:style>
  <w:style w:type="character" w:styleId="CommentTok" w:customStyle="1">
    <w:name w:val="CommentTok"/>
    <w:basedOn w:val="VerbatimChar"/>
    <w:qFormat/>
    <w:rPr>
      <w:i/>
      <w:color w:val="60A0B0"/>
    </w:rPr>
  </w:style>
  <w:style w:type="character" w:styleId="DocumentationTok" w:customStyle="1">
    <w:name w:val="DocumentationTok"/>
    <w:basedOn w:val="VerbatimChar"/>
    <w:qFormat/>
    <w:rPr>
      <w:i/>
      <w:color w:val="BA2121"/>
    </w:rPr>
  </w:style>
  <w:style w:type="character" w:styleId="AnnotationTok" w:customStyle="1">
    <w:name w:val="AnnotationTok"/>
    <w:basedOn w:val="VerbatimChar"/>
    <w:qFormat/>
    <w:rPr>
      <w:b/>
      <w:i/>
      <w:color w:val="60A0B0"/>
    </w:rPr>
  </w:style>
  <w:style w:type="character" w:styleId="CommentVarTok" w:customStyle="1">
    <w:name w:val="CommentVarTok"/>
    <w:basedOn w:val="VerbatimChar"/>
    <w:qFormat/>
    <w:rPr>
      <w:b/>
      <w:i/>
      <w:color w:val="60A0B0"/>
    </w:rPr>
  </w:style>
  <w:style w:type="character" w:styleId="OtherTok" w:customStyle="1">
    <w:name w:val="OtherTok"/>
    <w:basedOn w:val="VerbatimChar"/>
    <w:qFormat/>
    <w:rPr>
      <w:color w:val="007020"/>
    </w:rPr>
  </w:style>
  <w:style w:type="character" w:styleId="FunctionTok" w:customStyle="1">
    <w:name w:val="FunctionTok"/>
    <w:basedOn w:val="VerbatimChar"/>
    <w:qFormat/>
    <w:rPr>
      <w:color w:val="06287E"/>
    </w:rPr>
  </w:style>
  <w:style w:type="character" w:styleId="VariableTok" w:customStyle="1">
    <w:name w:val="VariableTok"/>
    <w:basedOn w:val="VerbatimChar"/>
    <w:qFormat/>
    <w:rPr>
      <w:color w:val="19177C"/>
    </w:rPr>
  </w:style>
  <w:style w:type="character" w:styleId="ControlFlowTok" w:customStyle="1">
    <w:name w:val="ControlFlowTok"/>
    <w:basedOn w:val="VerbatimChar"/>
    <w:qFormat/>
    <w:rPr>
      <w:b/>
      <w:color w:val="007020"/>
    </w:rPr>
  </w:style>
  <w:style w:type="character" w:styleId="OperatorTok" w:customStyle="1">
    <w:name w:val="OperatorTok"/>
    <w:basedOn w:val="VerbatimChar"/>
    <w:qFormat/>
    <w:rPr>
      <w:color w:val="666666"/>
    </w:rPr>
  </w:style>
  <w:style w:type="character" w:styleId="BuiltInTok" w:customStyle="1">
    <w:name w:val="BuiltInTok"/>
    <w:basedOn w:val="VerbatimChar"/>
    <w:qFormat/>
    <w:rPr>
      <w:color w:val="008000"/>
    </w:rPr>
  </w:style>
  <w:style w:type="character" w:styleId="ExtensionTok" w:customStyle="1">
    <w:name w:val="ExtensionTok"/>
    <w:basedOn w:val="VerbatimChar"/>
    <w:qFormat/>
    <w:rPr/>
  </w:style>
  <w:style w:type="character" w:styleId="PreprocessorTok" w:customStyle="1">
    <w:name w:val="PreprocessorTok"/>
    <w:basedOn w:val="VerbatimChar"/>
    <w:qFormat/>
    <w:rPr>
      <w:color w:val="BC7A00"/>
    </w:rPr>
  </w:style>
  <w:style w:type="character" w:styleId="AttributeTok" w:customStyle="1">
    <w:name w:val="AttributeTok"/>
    <w:basedOn w:val="VerbatimChar"/>
    <w:qFormat/>
    <w:rPr>
      <w:color w:val="7D9029"/>
    </w:rPr>
  </w:style>
  <w:style w:type="character" w:styleId="RegionMarkerTok" w:customStyle="1">
    <w:name w:val="RegionMarkerTok"/>
    <w:basedOn w:val="VerbatimChar"/>
    <w:qFormat/>
    <w:rPr/>
  </w:style>
  <w:style w:type="character" w:styleId="InformationTok" w:customStyle="1">
    <w:name w:val="InformationTok"/>
    <w:basedOn w:val="VerbatimChar"/>
    <w:qFormat/>
    <w:rPr>
      <w:b/>
      <w:i/>
      <w:color w:val="60A0B0"/>
    </w:rPr>
  </w:style>
  <w:style w:type="character" w:styleId="WarningTok" w:customStyle="1">
    <w:name w:val="WarningTok"/>
    <w:basedOn w:val="VerbatimChar"/>
    <w:qFormat/>
    <w:rPr>
      <w:b/>
      <w:i/>
      <w:color w:val="60A0B0"/>
    </w:rPr>
  </w:style>
  <w:style w:type="character" w:styleId="AlertTok" w:customStyle="1">
    <w:name w:val="AlertTok"/>
    <w:basedOn w:val="VerbatimChar"/>
    <w:qFormat/>
    <w:rPr>
      <w:b/>
      <w:color w:val="FF0000"/>
    </w:rPr>
  </w:style>
  <w:style w:type="character" w:styleId="ErrorTok" w:customStyle="1">
    <w:name w:val="ErrorTok"/>
    <w:basedOn w:val="VerbatimChar"/>
    <w:qFormat/>
    <w:rPr>
      <w:b/>
      <w:color w:val="FF0000"/>
    </w:rPr>
  </w:style>
  <w:style w:type="character" w:styleId="NormalTok" w:customStyle="1">
    <w:name w:val="NormalTok"/>
    <w:basedOn w:val="VerbatimChar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Roboto"/>
      <w:sz w:val="28"/>
      <w:szCs w:val="28"/>
    </w:rPr>
  </w:style>
  <w:style w:type="paragraph" w:styleId="BodyText">
    <w:name w:val="Body Text"/>
    <w:basedOn w:val="Normal"/>
    <w:link w:val="BodyTextChar"/>
    <w:qFormat/>
    <w:pPr>
      <w:spacing w:before="180" w:after="180"/>
    </w:pPr>
    <w:rPr/>
  </w:style>
  <w:style w:type="paragraph" w:styleId="List">
    <w:name w:val="List"/>
    <w:basedOn w:val="BodyText"/>
    <w:pPr/>
    <w:rPr>
      <w:rFonts w:ascii="Arial" w:hAnsi="Arial" w:cs="Roboto"/>
    </w:rPr>
  </w:style>
  <w:style w:type="paragraph" w:styleId="Caption">
    <w:name w:val="caption"/>
    <w:basedOn w:val="Normal"/>
    <w:link w:val="BodyTextChar"/>
    <w:qFormat/>
    <w:pPr>
      <w:spacing w:before="0" w:after="120"/>
    </w:pPr>
    <w:rPr>
      <w:i/>
    </w:rPr>
  </w:style>
  <w:style w:type="paragraph" w:styleId="Index">
    <w:name w:val="Index"/>
    <w:basedOn w:val="Normal"/>
    <w:qFormat/>
    <w:pPr>
      <w:suppressLineNumbers/>
    </w:pPr>
    <w:rPr>
      <w:rFonts w:ascii="Calibri" w:hAnsi="Calibri" w:cs="Roboto"/>
    </w:rPr>
  </w:style>
  <w:style w:type="paragraph" w:styleId="FirstParagraph" w:customStyle="1">
    <w:name w:val="First Paragraph"/>
    <w:basedOn w:val="BodyText"/>
    <w:next w:val="BodyText"/>
    <w:qFormat/>
    <w:pPr/>
    <w:rPr/>
  </w:style>
  <w:style w:type="paragraph" w:styleId="Compact" w:customStyle="1">
    <w:name w:val="Compact"/>
    <w:basedOn w:val="BodyText"/>
    <w:qFormat/>
    <w:pPr>
      <w:spacing w:before="36" w:after="36"/>
    </w:pPr>
    <w:rPr/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lineRule="auto" w:line="240" w:before="0" w:after="80"/>
      <w:contextualSpacing/>
      <w:jc w:val="center"/>
    </w:pPr>
    <w:rPr>
      <w:rFonts w:ascii="Aptos Display" w:hAnsi="Aptos Display" w:eastAsia="" w:cs="" w:asciiTheme="majorHAnsi" w:cstheme="majorBidi" w:eastAsiaTheme="majorEastAsia" w:hAnsiTheme="majorHAns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/>
    <w:rPr>
      <w:rFonts w:eastAsia="" w:cs="" w:cstheme="majorBidi" w:eastAsiaTheme="majorEastAsia"/>
      <w:spacing w:val="15"/>
      <w:sz w:val="28"/>
      <w:szCs w:val="28"/>
    </w:rPr>
  </w:style>
  <w:style w:type="paragraph" w:styleId="Author" w:customStyle="1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type="paragraph" w:styleId="AbstractTitle" w:customStyle="1">
    <w:name w:val="Abstract Title"/>
    <w:basedOn w:val="Normal"/>
    <w:next w:val="Abstract"/>
    <w:qFormat/>
    <w:pPr>
      <w:keepNext w:val="true"/>
      <w:keepLines/>
      <w:spacing w:before="300" w:after="0"/>
      <w:jc w:val="center"/>
    </w:pPr>
    <w:rPr>
      <w:b/>
      <w:sz w:val="20"/>
      <w:szCs w:val="20"/>
    </w:rPr>
  </w:style>
  <w:style w:type="paragraph" w:styleId="Abstract" w:customStyle="1">
    <w:name w:val="Abstract"/>
    <w:basedOn w:val="Normal"/>
    <w:next w:val="BodyText"/>
    <w:qFormat/>
    <w:pPr>
      <w:keepNext w:val="true"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  <w:pPr/>
    <w:rPr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hanging="0" w:left="480" w:right="480"/>
    </w:pPr>
    <w:rPr/>
  </w:style>
  <w:style w:type="paragraph" w:styleId="FootnoteText">
    <w:name w:val="footnote text"/>
    <w:basedOn w:val="Normal"/>
    <w:uiPriority w:val="9"/>
    <w:unhideWhenUsed/>
    <w:qFormat/>
    <w:pPr/>
    <w:rPr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hanging="0" w:left="480" w:right="480"/>
    </w:pPr>
    <w:rPr/>
  </w:style>
  <w:style w:type="paragraph" w:styleId="DefinitionTerm" w:customStyle="1">
    <w:name w:val="Definition Term"/>
    <w:basedOn w:val="Normal"/>
    <w:next w:val="Definition"/>
    <w:qFormat/>
    <w:pPr>
      <w:keepNext w:val="true"/>
      <w:keepLines/>
      <w:spacing w:before="0" w:after="0"/>
    </w:pPr>
    <w:rPr>
      <w:b/>
    </w:rPr>
  </w:style>
  <w:style w:type="paragraph" w:styleId="Definition" w:customStyle="1">
    <w:name w:val="Definition"/>
    <w:basedOn w:val="Normal"/>
    <w:qFormat/>
    <w:pPr/>
    <w:rPr/>
  </w:style>
  <w:style w:type="paragraph" w:styleId="TableCaption" w:customStyle="1">
    <w:name w:val="Table Caption"/>
    <w:basedOn w:val="Caption"/>
    <w:qFormat/>
    <w:pPr>
      <w:keepNext w:val="true"/>
    </w:pPr>
    <w:rPr/>
  </w:style>
  <w:style w:type="paragraph" w:styleId="ImageCaption" w:customStyle="1">
    <w:name w:val="Image Caption"/>
    <w:basedOn w:val="Caption"/>
    <w:qFormat/>
    <w:pPr/>
    <w:rPr/>
  </w:style>
  <w:style w:type="paragraph" w:styleId="Figure" w:customStyle="1">
    <w:name w:val="Figure"/>
    <w:basedOn w:val="Normal"/>
    <w:qFormat/>
    <w:pPr/>
    <w:rPr/>
  </w:style>
  <w:style w:type="paragraph" w:styleId="CaptionedFigure" w:customStyle="1">
    <w:name w:val="Captioned Figure"/>
    <w:basedOn w:val="Figure"/>
    <w:qFormat/>
    <w:pPr>
      <w:keepNext w:val="true"/>
    </w:pPr>
    <w:rPr/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BodyText"/>
    <w:uiPriority w:val="39"/>
    <w:unhideWhenUsed/>
    <w:qFormat/>
    <w:pPr>
      <w:spacing w:lineRule="auto" w:line="259" w:before="240" w:after="80"/>
      <w:outlineLvl w:val="9"/>
    </w:pPr>
    <w:rPr>
      <w:rFonts w:ascii="Aptos Display" w:hAnsi="Aptos Display" w:eastAsia="" w:cs="" w:asciiTheme="majorHAnsi" w:cstheme="majorBidi" w:eastAsiaTheme="majorEastAsia" w:hAnsiTheme="majorHAnsi"/>
      <w:b w:val="false"/>
      <w:bCs w:val="false"/>
      <w:color w:themeColor="accent1" w:themeShade="bf" w:val="365F91"/>
    </w:rPr>
  </w:style>
  <w:style w:type="paragraph" w:styleId="SourceCode" w:customStyle="1">
    <w:name w:val="Source Code"/>
    <w:basedOn w:val="Normal"/>
    <w:link w:val="VerbatimChar"/>
    <w:qFormat/>
    <w:pPr/>
    <w:rPr/>
  </w:style>
  <w:style w:type="table" w:default="1" w:styleId="Table">
    <w:name w:val="Table"/>
    <w:basedOn w:val="TableNormal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/>
        </w:tcBorders>
        <w:vAlign w:val="bottom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LibreOffice/26.2.5.2$Linux_X86_64 LibreOffice_project/620$Build-2</Application>
  <AppVersion>15.0000</AppVersion>
  <Pages>2</Pages>
  <Words>275</Words>
  <Characters>1613</Characters>
  <CharactersWithSpaces>1854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2026-09-15T17:13:31Z</dcterms:created>
  <dc:creator/>
  <dc:description/>
  <dc:language>ro-RO</dc:language>
  <cp:lastModifiedBy/>
  <dcterms:modified xsi:type="dcterms:W3CDTF">2026-09-15T20:19:24Z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